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FC20" w14:textId="77777777" w:rsidR="006A6104" w:rsidRDefault="006A6104" w:rsidP="00546CE5">
      <w:pPr>
        <w:pStyle w:val="Title"/>
      </w:pPr>
    </w:p>
    <w:p w14:paraId="17A58A9C" w14:textId="452B1AA4" w:rsidR="006A6104" w:rsidRDefault="006A6104" w:rsidP="006A6104">
      <w:pPr>
        <w:pStyle w:val="Title"/>
        <w:jc w:val="right"/>
      </w:pPr>
      <w:r>
        <w:rPr>
          <w:noProof/>
        </w:rPr>
        <w:drawing>
          <wp:anchor distT="0" distB="0" distL="114300" distR="114300" simplePos="0" relativeHeight="251658240" behindDoc="0" locked="0" layoutInCell="1" allowOverlap="1" wp14:anchorId="21A9DD8C" wp14:editId="0C83E867">
            <wp:simplePos x="0" y="0"/>
            <wp:positionH relativeFrom="margin">
              <wp:align>right</wp:align>
            </wp:positionH>
            <wp:positionV relativeFrom="margin">
              <wp:align>top</wp:align>
            </wp:positionV>
            <wp:extent cx="4699000" cy="1616519"/>
            <wp:effectExtent l="0" t="0" r="0" b="0"/>
            <wp:wrapSquare wrapText="bothSides"/>
            <wp:docPr id="1" name="Picture 1"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000" cy="1616519"/>
                    </a:xfrm>
                    <a:prstGeom prst="rect">
                      <a:avLst/>
                    </a:prstGeom>
                  </pic:spPr>
                </pic:pic>
              </a:graphicData>
            </a:graphic>
          </wp:anchor>
        </w:drawing>
      </w:r>
    </w:p>
    <w:p w14:paraId="1276A528" w14:textId="77777777" w:rsidR="006A6104" w:rsidRDefault="006A6104" w:rsidP="00546CE5">
      <w:pPr>
        <w:pStyle w:val="Title"/>
      </w:pPr>
    </w:p>
    <w:p w14:paraId="6BE596BF" w14:textId="77777777" w:rsidR="006A6104" w:rsidRDefault="006A6104" w:rsidP="00546CE5">
      <w:pPr>
        <w:pStyle w:val="Title"/>
      </w:pPr>
    </w:p>
    <w:p w14:paraId="0CCC82FB" w14:textId="77777777" w:rsidR="006A6104" w:rsidRDefault="006A6104" w:rsidP="00546CE5">
      <w:pPr>
        <w:pStyle w:val="Title"/>
      </w:pPr>
    </w:p>
    <w:p w14:paraId="7A664C3C" w14:textId="77777777" w:rsidR="006A6104" w:rsidRDefault="006A6104" w:rsidP="00546CE5">
      <w:pPr>
        <w:pStyle w:val="Title"/>
      </w:pPr>
    </w:p>
    <w:p w14:paraId="0BCF70DE" w14:textId="3029BAC8" w:rsidR="006A6104" w:rsidRDefault="006A6104" w:rsidP="00546CE5">
      <w:pPr>
        <w:pStyle w:val="Title"/>
      </w:pPr>
    </w:p>
    <w:p w14:paraId="4BEF6518" w14:textId="3A062CC6" w:rsidR="006A6104" w:rsidRDefault="006A6104" w:rsidP="006A6104"/>
    <w:p w14:paraId="19F086B7" w14:textId="3B6CEBB4" w:rsidR="006A6104" w:rsidRDefault="006A6104" w:rsidP="006A6104"/>
    <w:p w14:paraId="5C9B2E55" w14:textId="77777777" w:rsidR="006A6104" w:rsidRPr="006A6104" w:rsidRDefault="006A6104" w:rsidP="006A6104"/>
    <w:p w14:paraId="6BEC9F19" w14:textId="4187A4F0" w:rsidR="00F7270B" w:rsidRPr="00467930" w:rsidRDefault="00F7270B" w:rsidP="006A6104">
      <w:pPr>
        <w:pStyle w:val="Title"/>
        <w:rPr>
          <w:b/>
          <w:bCs/>
        </w:rPr>
      </w:pPr>
      <w:r w:rsidRPr="00467930">
        <w:rPr>
          <w:b/>
          <w:bCs/>
        </w:rPr>
        <w:t>Vision Foundation</w:t>
      </w:r>
    </w:p>
    <w:p w14:paraId="6FA07C36" w14:textId="77777777" w:rsidR="00F7270B" w:rsidRDefault="00F7270B" w:rsidP="006A6104">
      <w:r>
        <w:t>Registered name Vision Foundation for London</w:t>
      </w:r>
    </w:p>
    <w:p w14:paraId="7ACA26D0" w14:textId="77777777" w:rsidR="00F7270B" w:rsidRDefault="00F7270B" w:rsidP="006A6104">
      <w:pPr>
        <w:pStyle w:val="BodyText"/>
        <w:spacing w:before="15"/>
        <w:rPr>
          <w:rFonts w:ascii="Lucida Sans Unicode"/>
          <w:sz w:val="20"/>
        </w:rPr>
      </w:pPr>
    </w:p>
    <w:p w14:paraId="383FFBDD" w14:textId="77777777" w:rsidR="00F7270B" w:rsidRPr="00E53E1A" w:rsidRDefault="00F7270B" w:rsidP="00F64A91">
      <w:pPr>
        <w:pStyle w:val="Heading2"/>
      </w:pPr>
      <w:bookmarkStart w:id="0" w:name="_Toc86936748"/>
      <w:bookmarkStart w:id="1" w:name="_Toc86936884"/>
      <w:r w:rsidRPr="00E53E1A">
        <w:t>Annual Report and financial statements</w:t>
      </w:r>
      <w:bookmarkEnd w:id="0"/>
      <w:bookmarkEnd w:id="1"/>
      <w:r w:rsidRPr="00E53E1A">
        <w:t xml:space="preserve"> </w:t>
      </w:r>
    </w:p>
    <w:p w14:paraId="09AE2255" w14:textId="08F678AB" w:rsidR="00F7270B" w:rsidRPr="00E53E1A" w:rsidRDefault="00F7270B" w:rsidP="00F64A91">
      <w:pPr>
        <w:pStyle w:val="Heading2"/>
      </w:pPr>
      <w:bookmarkStart w:id="2" w:name="_Toc86936749"/>
      <w:bookmarkStart w:id="3" w:name="_Toc86936885"/>
      <w:r w:rsidRPr="00E53E1A">
        <w:t>For the year ended 31 March 2021</w:t>
      </w:r>
      <w:bookmarkEnd w:id="2"/>
      <w:bookmarkEnd w:id="3"/>
    </w:p>
    <w:p w14:paraId="0E31E5C7" w14:textId="2B48AB75" w:rsidR="008E6580" w:rsidRDefault="008E6580" w:rsidP="006A6104">
      <w:pPr>
        <w:spacing w:line="336" w:lineRule="auto"/>
        <w:ind w:right="1589"/>
        <w:rPr>
          <w:rFonts w:ascii="Lucida Sans Unicode"/>
          <w:sz w:val="28"/>
        </w:rPr>
      </w:pPr>
    </w:p>
    <w:p w14:paraId="1DE668C5" w14:textId="77777777" w:rsidR="008E6580" w:rsidRDefault="008E6580" w:rsidP="006A6104">
      <w:pPr>
        <w:spacing w:line="336" w:lineRule="auto"/>
        <w:ind w:right="1589"/>
        <w:rPr>
          <w:rFonts w:ascii="Lucida Sans Unicode"/>
          <w:sz w:val="28"/>
        </w:rPr>
      </w:pPr>
    </w:p>
    <w:p w14:paraId="623BC4D0" w14:textId="77777777" w:rsidR="00F7270B" w:rsidRDefault="00F7270B" w:rsidP="006A6104">
      <w:r>
        <w:t>Company number:</w:t>
      </w:r>
      <w:r>
        <w:rPr>
          <w:spacing w:val="-10"/>
        </w:rPr>
        <w:t xml:space="preserve"> </w:t>
      </w:r>
      <w:r>
        <w:t>03693002</w:t>
      </w:r>
    </w:p>
    <w:p w14:paraId="29FA4B3C" w14:textId="7946F92B" w:rsidR="00F7270B" w:rsidRDefault="00F7270B" w:rsidP="006A6104">
      <w:r>
        <w:t>Charity number:</w:t>
      </w:r>
      <w:r>
        <w:rPr>
          <w:spacing w:val="-7"/>
        </w:rPr>
        <w:t xml:space="preserve"> </w:t>
      </w:r>
      <w:r>
        <w:t>1074958</w:t>
      </w:r>
    </w:p>
    <w:p w14:paraId="45280653" w14:textId="77777777" w:rsidR="00546CE5" w:rsidRDefault="00546CE5">
      <w:pPr>
        <w:widowControl/>
        <w:autoSpaceDE/>
        <w:autoSpaceDN/>
      </w:pPr>
    </w:p>
    <w:p w14:paraId="07A5B65A" w14:textId="77777777" w:rsidR="00546CE5" w:rsidRDefault="00546CE5">
      <w:pPr>
        <w:widowControl/>
        <w:autoSpaceDE/>
        <w:autoSpaceDN/>
      </w:pPr>
    </w:p>
    <w:p w14:paraId="32D1E1E1" w14:textId="2B877BD0" w:rsidR="00F7270B" w:rsidRDefault="00F7270B">
      <w:pPr>
        <w:widowControl/>
        <w:autoSpaceDE/>
        <w:autoSpaceDN/>
      </w:pPr>
      <w:r>
        <w:br w:type="page"/>
      </w:r>
    </w:p>
    <w:sdt>
      <w:sdtPr>
        <w:id w:val="1684169348"/>
        <w:docPartObj>
          <w:docPartGallery w:val="Table of Contents"/>
          <w:docPartUnique/>
        </w:docPartObj>
      </w:sdtPr>
      <w:sdtEndPr>
        <w:rPr>
          <w:b w:val="0"/>
          <w:bCs w:val="0"/>
          <w:noProof/>
        </w:rPr>
      </w:sdtEndPr>
      <w:sdtContent>
        <w:p w14:paraId="3319532A" w14:textId="77777777" w:rsidR="00A27AEA" w:rsidRDefault="00546CE5" w:rsidP="00A27AEA">
          <w:pPr>
            <w:pStyle w:val="TOCHeading"/>
            <w:spacing w:before="0"/>
            <w:rPr>
              <w:noProof/>
            </w:rPr>
          </w:pPr>
          <w:r w:rsidRPr="00E53E1A">
            <w:rPr>
              <w:rFonts w:ascii="FS Albert" w:hAnsi="FS Albert"/>
              <w:sz w:val="56"/>
              <w:szCs w:val="56"/>
            </w:rPr>
            <w:t>Contents</w:t>
          </w:r>
          <w:r w:rsidR="00C65369">
            <w:rPr>
              <w:rFonts w:asciiTheme="minorHAnsi" w:hAnsiTheme="minorHAnsi" w:cstheme="minorHAnsi"/>
              <w:b w:val="0"/>
              <w:color w:val="4565AE"/>
              <w:szCs w:val="24"/>
            </w:rPr>
            <w:fldChar w:fldCharType="begin"/>
          </w:r>
          <w:r w:rsidR="00C65369">
            <w:rPr>
              <w:rFonts w:asciiTheme="minorHAnsi" w:hAnsiTheme="minorHAnsi" w:cstheme="minorHAnsi"/>
              <w:b w:val="0"/>
              <w:color w:val="4565AE"/>
              <w:szCs w:val="24"/>
            </w:rPr>
            <w:instrText xml:space="preserve"> TOC \o "1-2" \h \z \u </w:instrText>
          </w:r>
          <w:r w:rsidR="00C65369">
            <w:rPr>
              <w:rFonts w:asciiTheme="minorHAnsi" w:hAnsiTheme="minorHAnsi" w:cstheme="minorHAnsi"/>
              <w:b w:val="0"/>
              <w:color w:val="4565AE"/>
              <w:szCs w:val="24"/>
            </w:rPr>
            <w:fldChar w:fldCharType="separate"/>
          </w:r>
        </w:p>
        <w:p w14:paraId="6D983517" w14:textId="6692AB3A"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66" w:history="1">
            <w:r w:rsidR="00A27AEA" w:rsidRPr="00661E03">
              <w:rPr>
                <w:rStyle w:val="Hyperlink"/>
                <w:noProof/>
              </w:rPr>
              <w:t>Foreword from our Royal Patron</w:t>
            </w:r>
            <w:r w:rsidR="00A27AEA">
              <w:rPr>
                <w:noProof/>
                <w:webHidden/>
              </w:rPr>
              <w:tab/>
            </w:r>
            <w:r w:rsidR="00A27AEA">
              <w:rPr>
                <w:noProof/>
                <w:webHidden/>
              </w:rPr>
              <w:fldChar w:fldCharType="begin"/>
            </w:r>
            <w:r w:rsidR="00A27AEA">
              <w:rPr>
                <w:noProof/>
                <w:webHidden/>
              </w:rPr>
              <w:instrText xml:space="preserve"> PAGEREF _Toc87614366 \h </w:instrText>
            </w:r>
            <w:r w:rsidR="00A27AEA">
              <w:rPr>
                <w:noProof/>
                <w:webHidden/>
              </w:rPr>
            </w:r>
            <w:r w:rsidR="00A27AEA">
              <w:rPr>
                <w:noProof/>
                <w:webHidden/>
              </w:rPr>
              <w:fldChar w:fldCharType="separate"/>
            </w:r>
            <w:r w:rsidR="00A27AEA">
              <w:rPr>
                <w:noProof/>
                <w:webHidden/>
              </w:rPr>
              <w:t>4</w:t>
            </w:r>
            <w:r w:rsidR="00A27AEA">
              <w:rPr>
                <w:noProof/>
                <w:webHidden/>
              </w:rPr>
              <w:fldChar w:fldCharType="end"/>
            </w:r>
          </w:hyperlink>
        </w:p>
        <w:p w14:paraId="0339B476" w14:textId="055ED5DE"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67" w:history="1">
            <w:r w:rsidR="00A27AEA" w:rsidRPr="00661E03">
              <w:rPr>
                <w:rStyle w:val="Hyperlink"/>
                <w:noProof/>
              </w:rPr>
              <w:t>Foreword from our Vice President</w:t>
            </w:r>
            <w:r w:rsidR="00A27AEA">
              <w:rPr>
                <w:noProof/>
                <w:webHidden/>
              </w:rPr>
              <w:tab/>
            </w:r>
            <w:r w:rsidR="00A27AEA">
              <w:rPr>
                <w:noProof/>
                <w:webHidden/>
              </w:rPr>
              <w:fldChar w:fldCharType="begin"/>
            </w:r>
            <w:r w:rsidR="00A27AEA">
              <w:rPr>
                <w:noProof/>
                <w:webHidden/>
              </w:rPr>
              <w:instrText xml:space="preserve"> PAGEREF _Toc87614367 \h </w:instrText>
            </w:r>
            <w:r w:rsidR="00A27AEA">
              <w:rPr>
                <w:noProof/>
                <w:webHidden/>
              </w:rPr>
            </w:r>
            <w:r w:rsidR="00A27AEA">
              <w:rPr>
                <w:noProof/>
                <w:webHidden/>
              </w:rPr>
              <w:fldChar w:fldCharType="separate"/>
            </w:r>
            <w:r w:rsidR="00A27AEA">
              <w:rPr>
                <w:noProof/>
                <w:webHidden/>
              </w:rPr>
              <w:t>5</w:t>
            </w:r>
            <w:r w:rsidR="00A27AEA">
              <w:rPr>
                <w:noProof/>
                <w:webHidden/>
              </w:rPr>
              <w:fldChar w:fldCharType="end"/>
            </w:r>
          </w:hyperlink>
        </w:p>
        <w:p w14:paraId="57CCC525" w14:textId="70D7C54F"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68" w:history="1">
            <w:r w:rsidR="00A27AEA" w:rsidRPr="00661E03">
              <w:rPr>
                <w:rStyle w:val="Hyperlink"/>
                <w:noProof/>
              </w:rPr>
              <w:t xml:space="preserve">Foreword from </w:t>
            </w:r>
            <w:r w:rsidR="00A27AEA" w:rsidRPr="00661E03">
              <w:rPr>
                <w:rStyle w:val="Hyperlink"/>
                <w:rFonts w:eastAsia="Times New Roman"/>
                <w:noProof/>
                <w:lang w:eastAsia="en-GB"/>
              </w:rPr>
              <w:t>The Rt Hon Sir John Major KG CH</w:t>
            </w:r>
            <w:r w:rsidR="00A27AEA">
              <w:rPr>
                <w:noProof/>
                <w:webHidden/>
              </w:rPr>
              <w:tab/>
            </w:r>
            <w:r w:rsidR="00A27AEA">
              <w:rPr>
                <w:noProof/>
                <w:webHidden/>
              </w:rPr>
              <w:fldChar w:fldCharType="begin"/>
            </w:r>
            <w:r w:rsidR="00A27AEA">
              <w:rPr>
                <w:noProof/>
                <w:webHidden/>
              </w:rPr>
              <w:instrText xml:space="preserve"> PAGEREF _Toc87614368 \h </w:instrText>
            </w:r>
            <w:r w:rsidR="00A27AEA">
              <w:rPr>
                <w:noProof/>
                <w:webHidden/>
              </w:rPr>
            </w:r>
            <w:r w:rsidR="00A27AEA">
              <w:rPr>
                <w:noProof/>
                <w:webHidden/>
              </w:rPr>
              <w:fldChar w:fldCharType="separate"/>
            </w:r>
            <w:r w:rsidR="00A27AEA">
              <w:rPr>
                <w:noProof/>
                <w:webHidden/>
              </w:rPr>
              <w:t>6</w:t>
            </w:r>
            <w:r w:rsidR="00A27AEA">
              <w:rPr>
                <w:noProof/>
                <w:webHidden/>
              </w:rPr>
              <w:fldChar w:fldCharType="end"/>
            </w:r>
          </w:hyperlink>
        </w:p>
        <w:p w14:paraId="65B3F1B6" w14:textId="59828E69"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69" w:history="1">
            <w:r w:rsidR="00A27AEA" w:rsidRPr="00661E03">
              <w:rPr>
                <w:rStyle w:val="Hyperlink"/>
                <w:noProof/>
              </w:rPr>
              <w:t>Message from the CEO and Chair of the board</w:t>
            </w:r>
            <w:r w:rsidR="00A27AEA">
              <w:rPr>
                <w:noProof/>
                <w:webHidden/>
              </w:rPr>
              <w:tab/>
            </w:r>
            <w:r w:rsidR="00A27AEA">
              <w:rPr>
                <w:noProof/>
                <w:webHidden/>
              </w:rPr>
              <w:fldChar w:fldCharType="begin"/>
            </w:r>
            <w:r w:rsidR="00A27AEA">
              <w:rPr>
                <w:noProof/>
                <w:webHidden/>
              </w:rPr>
              <w:instrText xml:space="preserve"> PAGEREF _Toc87614369 \h </w:instrText>
            </w:r>
            <w:r w:rsidR="00A27AEA">
              <w:rPr>
                <w:noProof/>
                <w:webHidden/>
              </w:rPr>
            </w:r>
            <w:r w:rsidR="00A27AEA">
              <w:rPr>
                <w:noProof/>
                <w:webHidden/>
              </w:rPr>
              <w:fldChar w:fldCharType="separate"/>
            </w:r>
            <w:r w:rsidR="00A27AEA">
              <w:rPr>
                <w:noProof/>
                <w:webHidden/>
              </w:rPr>
              <w:t>7</w:t>
            </w:r>
            <w:r w:rsidR="00A27AEA">
              <w:rPr>
                <w:noProof/>
                <w:webHidden/>
              </w:rPr>
              <w:fldChar w:fldCharType="end"/>
            </w:r>
          </w:hyperlink>
        </w:p>
        <w:p w14:paraId="434CB8B8" w14:textId="65E0248E"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70" w:history="1">
            <w:r w:rsidR="00A27AEA" w:rsidRPr="00661E03">
              <w:rPr>
                <w:rStyle w:val="Hyperlink"/>
                <w:noProof/>
              </w:rPr>
              <w:t>Key highlights</w:t>
            </w:r>
            <w:r w:rsidR="00A27AEA">
              <w:rPr>
                <w:noProof/>
                <w:webHidden/>
              </w:rPr>
              <w:tab/>
            </w:r>
            <w:r w:rsidR="00A27AEA">
              <w:rPr>
                <w:noProof/>
                <w:webHidden/>
              </w:rPr>
              <w:fldChar w:fldCharType="begin"/>
            </w:r>
            <w:r w:rsidR="00A27AEA">
              <w:rPr>
                <w:noProof/>
                <w:webHidden/>
              </w:rPr>
              <w:instrText xml:space="preserve"> PAGEREF _Toc87614370 \h </w:instrText>
            </w:r>
            <w:r w:rsidR="00A27AEA">
              <w:rPr>
                <w:noProof/>
                <w:webHidden/>
              </w:rPr>
            </w:r>
            <w:r w:rsidR="00A27AEA">
              <w:rPr>
                <w:noProof/>
                <w:webHidden/>
              </w:rPr>
              <w:fldChar w:fldCharType="separate"/>
            </w:r>
            <w:r w:rsidR="00A27AEA">
              <w:rPr>
                <w:noProof/>
                <w:webHidden/>
              </w:rPr>
              <w:t>8</w:t>
            </w:r>
            <w:r w:rsidR="00A27AEA">
              <w:rPr>
                <w:noProof/>
                <w:webHidden/>
              </w:rPr>
              <w:fldChar w:fldCharType="end"/>
            </w:r>
          </w:hyperlink>
        </w:p>
        <w:p w14:paraId="7157505E" w14:textId="522176EB"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71" w:history="1">
            <w:r w:rsidR="00A27AEA" w:rsidRPr="00661E03">
              <w:rPr>
                <w:rStyle w:val="Hyperlink"/>
                <w:noProof/>
              </w:rPr>
              <w:t>Our Objectives, Values and Activities</w:t>
            </w:r>
            <w:r w:rsidR="00A27AEA">
              <w:rPr>
                <w:noProof/>
                <w:webHidden/>
              </w:rPr>
              <w:tab/>
            </w:r>
            <w:r w:rsidR="00A27AEA">
              <w:rPr>
                <w:noProof/>
                <w:webHidden/>
              </w:rPr>
              <w:fldChar w:fldCharType="begin"/>
            </w:r>
            <w:r w:rsidR="00A27AEA">
              <w:rPr>
                <w:noProof/>
                <w:webHidden/>
              </w:rPr>
              <w:instrText xml:space="preserve"> PAGEREF _Toc87614371 \h </w:instrText>
            </w:r>
            <w:r w:rsidR="00A27AEA">
              <w:rPr>
                <w:noProof/>
                <w:webHidden/>
              </w:rPr>
            </w:r>
            <w:r w:rsidR="00A27AEA">
              <w:rPr>
                <w:noProof/>
                <w:webHidden/>
              </w:rPr>
              <w:fldChar w:fldCharType="separate"/>
            </w:r>
            <w:r w:rsidR="00A27AEA">
              <w:rPr>
                <w:noProof/>
                <w:webHidden/>
              </w:rPr>
              <w:t>9</w:t>
            </w:r>
            <w:r w:rsidR="00A27AEA">
              <w:rPr>
                <w:noProof/>
                <w:webHidden/>
              </w:rPr>
              <w:fldChar w:fldCharType="end"/>
            </w:r>
          </w:hyperlink>
        </w:p>
        <w:p w14:paraId="3DB32B12" w14:textId="51115FC0"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72" w:history="1">
            <w:r w:rsidR="00A27AEA" w:rsidRPr="00661E03">
              <w:rPr>
                <w:rStyle w:val="Hyperlink"/>
                <w:noProof/>
              </w:rPr>
              <w:t>How we will achieve our goals?</w:t>
            </w:r>
            <w:r w:rsidR="00A27AEA">
              <w:rPr>
                <w:noProof/>
                <w:webHidden/>
              </w:rPr>
              <w:tab/>
            </w:r>
            <w:r w:rsidR="00A27AEA">
              <w:rPr>
                <w:noProof/>
                <w:webHidden/>
              </w:rPr>
              <w:fldChar w:fldCharType="begin"/>
            </w:r>
            <w:r w:rsidR="00A27AEA">
              <w:rPr>
                <w:noProof/>
                <w:webHidden/>
              </w:rPr>
              <w:instrText xml:space="preserve"> PAGEREF _Toc87614372 \h </w:instrText>
            </w:r>
            <w:r w:rsidR="00A27AEA">
              <w:rPr>
                <w:noProof/>
                <w:webHidden/>
              </w:rPr>
            </w:r>
            <w:r w:rsidR="00A27AEA">
              <w:rPr>
                <w:noProof/>
                <w:webHidden/>
              </w:rPr>
              <w:fldChar w:fldCharType="separate"/>
            </w:r>
            <w:r w:rsidR="00A27AEA">
              <w:rPr>
                <w:noProof/>
                <w:webHidden/>
              </w:rPr>
              <w:t>9</w:t>
            </w:r>
            <w:r w:rsidR="00A27AEA">
              <w:rPr>
                <w:noProof/>
                <w:webHidden/>
              </w:rPr>
              <w:fldChar w:fldCharType="end"/>
            </w:r>
          </w:hyperlink>
        </w:p>
        <w:p w14:paraId="1D88345F" w14:textId="316BC1F3"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73" w:history="1">
            <w:r w:rsidR="00A27AEA" w:rsidRPr="00661E03">
              <w:rPr>
                <w:rStyle w:val="Hyperlink"/>
                <w:noProof/>
              </w:rPr>
              <w:t>Our values</w:t>
            </w:r>
            <w:r w:rsidR="00A27AEA">
              <w:rPr>
                <w:noProof/>
                <w:webHidden/>
              </w:rPr>
              <w:tab/>
            </w:r>
            <w:r w:rsidR="00A27AEA">
              <w:rPr>
                <w:noProof/>
                <w:webHidden/>
              </w:rPr>
              <w:fldChar w:fldCharType="begin"/>
            </w:r>
            <w:r w:rsidR="00A27AEA">
              <w:rPr>
                <w:noProof/>
                <w:webHidden/>
              </w:rPr>
              <w:instrText xml:space="preserve"> PAGEREF _Toc87614373 \h </w:instrText>
            </w:r>
            <w:r w:rsidR="00A27AEA">
              <w:rPr>
                <w:noProof/>
                <w:webHidden/>
              </w:rPr>
            </w:r>
            <w:r w:rsidR="00A27AEA">
              <w:rPr>
                <w:noProof/>
                <w:webHidden/>
              </w:rPr>
              <w:fldChar w:fldCharType="separate"/>
            </w:r>
            <w:r w:rsidR="00A27AEA">
              <w:rPr>
                <w:noProof/>
                <w:webHidden/>
              </w:rPr>
              <w:t>9</w:t>
            </w:r>
            <w:r w:rsidR="00A27AEA">
              <w:rPr>
                <w:noProof/>
                <w:webHidden/>
              </w:rPr>
              <w:fldChar w:fldCharType="end"/>
            </w:r>
          </w:hyperlink>
        </w:p>
        <w:p w14:paraId="0D4DEA65" w14:textId="017CF27E"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74" w:history="1">
            <w:r w:rsidR="00A27AEA" w:rsidRPr="00661E03">
              <w:rPr>
                <w:rStyle w:val="Hyperlink"/>
                <w:noProof/>
              </w:rPr>
              <w:t>Our impact</w:t>
            </w:r>
            <w:r w:rsidR="00A27AEA">
              <w:rPr>
                <w:noProof/>
                <w:webHidden/>
              </w:rPr>
              <w:tab/>
            </w:r>
            <w:r w:rsidR="00A27AEA">
              <w:rPr>
                <w:noProof/>
                <w:webHidden/>
              </w:rPr>
              <w:fldChar w:fldCharType="begin"/>
            </w:r>
            <w:r w:rsidR="00A27AEA">
              <w:rPr>
                <w:noProof/>
                <w:webHidden/>
              </w:rPr>
              <w:instrText xml:space="preserve"> PAGEREF _Toc87614374 \h </w:instrText>
            </w:r>
            <w:r w:rsidR="00A27AEA">
              <w:rPr>
                <w:noProof/>
                <w:webHidden/>
              </w:rPr>
            </w:r>
            <w:r w:rsidR="00A27AEA">
              <w:rPr>
                <w:noProof/>
                <w:webHidden/>
              </w:rPr>
              <w:fldChar w:fldCharType="separate"/>
            </w:r>
            <w:r w:rsidR="00A27AEA">
              <w:rPr>
                <w:noProof/>
                <w:webHidden/>
              </w:rPr>
              <w:t>10</w:t>
            </w:r>
            <w:r w:rsidR="00A27AEA">
              <w:rPr>
                <w:noProof/>
                <w:webHidden/>
              </w:rPr>
              <w:fldChar w:fldCharType="end"/>
            </w:r>
          </w:hyperlink>
        </w:p>
        <w:p w14:paraId="0125DBEB" w14:textId="71325F2E"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75" w:history="1">
            <w:r w:rsidR="00A27AEA" w:rsidRPr="00661E03">
              <w:rPr>
                <w:rStyle w:val="Hyperlink"/>
                <w:noProof/>
              </w:rPr>
              <w:t>The Trustees’ Annual Report</w:t>
            </w:r>
            <w:r w:rsidR="00A27AEA">
              <w:rPr>
                <w:noProof/>
                <w:webHidden/>
              </w:rPr>
              <w:tab/>
            </w:r>
            <w:r w:rsidR="00A27AEA">
              <w:rPr>
                <w:noProof/>
                <w:webHidden/>
              </w:rPr>
              <w:fldChar w:fldCharType="begin"/>
            </w:r>
            <w:r w:rsidR="00A27AEA">
              <w:rPr>
                <w:noProof/>
                <w:webHidden/>
              </w:rPr>
              <w:instrText xml:space="preserve"> PAGEREF _Toc87614375 \h </w:instrText>
            </w:r>
            <w:r w:rsidR="00A27AEA">
              <w:rPr>
                <w:noProof/>
                <w:webHidden/>
              </w:rPr>
            </w:r>
            <w:r w:rsidR="00A27AEA">
              <w:rPr>
                <w:noProof/>
                <w:webHidden/>
              </w:rPr>
              <w:fldChar w:fldCharType="separate"/>
            </w:r>
            <w:r w:rsidR="00A27AEA">
              <w:rPr>
                <w:noProof/>
                <w:webHidden/>
              </w:rPr>
              <w:t>12</w:t>
            </w:r>
            <w:r w:rsidR="00A27AEA">
              <w:rPr>
                <w:noProof/>
                <w:webHidden/>
              </w:rPr>
              <w:fldChar w:fldCharType="end"/>
            </w:r>
          </w:hyperlink>
        </w:p>
        <w:p w14:paraId="247274D4" w14:textId="26C041B4"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76" w:history="1">
            <w:r w:rsidR="00A27AEA" w:rsidRPr="00661E03">
              <w:rPr>
                <w:rStyle w:val="Hyperlink"/>
                <w:noProof/>
              </w:rPr>
              <w:t>Structure, governance and management</w:t>
            </w:r>
            <w:r w:rsidR="00A27AEA">
              <w:rPr>
                <w:noProof/>
                <w:webHidden/>
              </w:rPr>
              <w:tab/>
            </w:r>
            <w:r w:rsidR="00A27AEA">
              <w:rPr>
                <w:noProof/>
                <w:webHidden/>
              </w:rPr>
              <w:fldChar w:fldCharType="begin"/>
            </w:r>
            <w:r w:rsidR="00A27AEA">
              <w:rPr>
                <w:noProof/>
                <w:webHidden/>
              </w:rPr>
              <w:instrText xml:space="preserve"> PAGEREF _Toc87614376 \h </w:instrText>
            </w:r>
            <w:r w:rsidR="00A27AEA">
              <w:rPr>
                <w:noProof/>
                <w:webHidden/>
              </w:rPr>
            </w:r>
            <w:r w:rsidR="00A27AEA">
              <w:rPr>
                <w:noProof/>
                <w:webHidden/>
              </w:rPr>
              <w:fldChar w:fldCharType="separate"/>
            </w:r>
            <w:r w:rsidR="00A27AEA">
              <w:rPr>
                <w:noProof/>
                <w:webHidden/>
              </w:rPr>
              <w:t>14</w:t>
            </w:r>
            <w:r w:rsidR="00A27AEA">
              <w:rPr>
                <w:noProof/>
                <w:webHidden/>
              </w:rPr>
              <w:fldChar w:fldCharType="end"/>
            </w:r>
          </w:hyperlink>
        </w:p>
        <w:p w14:paraId="55F8B42B" w14:textId="2ED8DAC0"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77" w:history="1">
            <w:r w:rsidR="00A27AEA" w:rsidRPr="00661E03">
              <w:rPr>
                <w:rStyle w:val="Hyperlink"/>
                <w:noProof/>
              </w:rPr>
              <w:t>Achievements and Performance</w:t>
            </w:r>
            <w:r w:rsidR="00A27AEA">
              <w:rPr>
                <w:noProof/>
                <w:webHidden/>
              </w:rPr>
              <w:tab/>
            </w:r>
            <w:r w:rsidR="00A27AEA">
              <w:rPr>
                <w:noProof/>
                <w:webHidden/>
              </w:rPr>
              <w:fldChar w:fldCharType="begin"/>
            </w:r>
            <w:r w:rsidR="00A27AEA">
              <w:rPr>
                <w:noProof/>
                <w:webHidden/>
              </w:rPr>
              <w:instrText xml:space="preserve"> PAGEREF _Toc87614377 \h </w:instrText>
            </w:r>
            <w:r w:rsidR="00A27AEA">
              <w:rPr>
                <w:noProof/>
                <w:webHidden/>
              </w:rPr>
            </w:r>
            <w:r w:rsidR="00A27AEA">
              <w:rPr>
                <w:noProof/>
                <w:webHidden/>
              </w:rPr>
              <w:fldChar w:fldCharType="separate"/>
            </w:r>
            <w:r w:rsidR="00A27AEA">
              <w:rPr>
                <w:noProof/>
                <w:webHidden/>
              </w:rPr>
              <w:t>17</w:t>
            </w:r>
            <w:r w:rsidR="00A27AEA">
              <w:rPr>
                <w:noProof/>
                <w:webHidden/>
              </w:rPr>
              <w:fldChar w:fldCharType="end"/>
            </w:r>
          </w:hyperlink>
        </w:p>
        <w:p w14:paraId="4124C214" w14:textId="7732C549"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78" w:history="1">
            <w:r w:rsidR="00A27AEA" w:rsidRPr="00661E03">
              <w:rPr>
                <w:rStyle w:val="Hyperlink"/>
                <w:noProof/>
              </w:rPr>
              <w:t>Income</w:t>
            </w:r>
            <w:r w:rsidR="00A27AEA">
              <w:rPr>
                <w:noProof/>
                <w:webHidden/>
              </w:rPr>
              <w:tab/>
            </w:r>
            <w:r w:rsidR="00A27AEA">
              <w:rPr>
                <w:noProof/>
                <w:webHidden/>
              </w:rPr>
              <w:fldChar w:fldCharType="begin"/>
            </w:r>
            <w:r w:rsidR="00A27AEA">
              <w:rPr>
                <w:noProof/>
                <w:webHidden/>
              </w:rPr>
              <w:instrText xml:space="preserve"> PAGEREF _Toc87614378 \h </w:instrText>
            </w:r>
            <w:r w:rsidR="00A27AEA">
              <w:rPr>
                <w:noProof/>
                <w:webHidden/>
              </w:rPr>
            </w:r>
            <w:r w:rsidR="00A27AEA">
              <w:rPr>
                <w:noProof/>
                <w:webHidden/>
              </w:rPr>
              <w:fldChar w:fldCharType="separate"/>
            </w:r>
            <w:r w:rsidR="00A27AEA">
              <w:rPr>
                <w:noProof/>
                <w:webHidden/>
              </w:rPr>
              <w:t>19</w:t>
            </w:r>
            <w:r w:rsidR="00A27AEA">
              <w:rPr>
                <w:noProof/>
                <w:webHidden/>
              </w:rPr>
              <w:fldChar w:fldCharType="end"/>
            </w:r>
          </w:hyperlink>
        </w:p>
        <w:p w14:paraId="3A36635D" w14:textId="671E9BE8"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79" w:history="1">
            <w:r w:rsidR="00A27AEA" w:rsidRPr="00661E03">
              <w:rPr>
                <w:rStyle w:val="Hyperlink"/>
                <w:noProof/>
              </w:rPr>
              <w:t>Our Supporters and Partners</w:t>
            </w:r>
            <w:r w:rsidR="00A27AEA">
              <w:rPr>
                <w:noProof/>
                <w:webHidden/>
              </w:rPr>
              <w:tab/>
            </w:r>
            <w:r w:rsidR="00A27AEA">
              <w:rPr>
                <w:noProof/>
                <w:webHidden/>
              </w:rPr>
              <w:fldChar w:fldCharType="begin"/>
            </w:r>
            <w:r w:rsidR="00A27AEA">
              <w:rPr>
                <w:noProof/>
                <w:webHidden/>
              </w:rPr>
              <w:instrText xml:space="preserve"> PAGEREF _Toc87614379 \h </w:instrText>
            </w:r>
            <w:r w:rsidR="00A27AEA">
              <w:rPr>
                <w:noProof/>
                <w:webHidden/>
              </w:rPr>
            </w:r>
            <w:r w:rsidR="00A27AEA">
              <w:rPr>
                <w:noProof/>
                <w:webHidden/>
              </w:rPr>
              <w:fldChar w:fldCharType="separate"/>
            </w:r>
            <w:r w:rsidR="00A27AEA">
              <w:rPr>
                <w:noProof/>
                <w:webHidden/>
              </w:rPr>
              <w:t>21</w:t>
            </w:r>
            <w:r w:rsidR="00A27AEA">
              <w:rPr>
                <w:noProof/>
                <w:webHidden/>
              </w:rPr>
              <w:fldChar w:fldCharType="end"/>
            </w:r>
          </w:hyperlink>
        </w:p>
        <w:p w14:paraId="538EC86A" w14:textId="0B12C531"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0" w:history="1">
            <w:r w:rsidR="00A27AEA" w:rsidRPr="00661E03">
              <w:rPr>
                <w:rStyle w:val="Hyperlink"/>
                <w:noProof/>
              </w:rPr>
              <w:t>Our Royal Patron and Vice Presidents</w:t>
            </w:r>
            <w:r w:rsidR="00A27AEA">
              <w:rPr>
                <w:noProof/>
                <w:webHidden/>
              </w:rPr>
              <w:tab/>
            </w:r>
            <w:r w:rsidR="00A27AEA">
              <w:rPr>
                <w:noProof/>
                <w:webHidden/>
              </w:rPr>
              <w:fldChar w:fldCharType="begin"/>
            </w:r>
            <w:r w:rsidR="00A27AEA">
              <w:rPr>
                <w:noProof/>
                <w:webHidden/>
              </w:rPr>
              <w:instrText xml:space="preserve"> PAGEREF _Toc87614380 \h </w:instrText>
            </w:r>
            <w:r w:rsidR="00A27AEA">
              <w:rPr>
                <w:noProof/>
                <w:webHidden/>
              </w:rPr>
            </w:r>
            <w:r w:rsidR="00A27AEA">
              <w:rPr>
                <w:noProof/>
                <w:webHidden/>
              </w:rPr>
              <w:fldChar w:fldCharType="separate"/>
            </w:r>
            <w:r w:rsidR="00A27AEA">
              <w:rPr>
                <w:noProof/>
                <w:webHidden/>
              </w:rPr>
              <w:t>21</w:t>
            </w:r>
            <w:r w:rsidR="00A27AEA">
              <w:rPr>
                <w:noProof/>
                <w:webHidden/>
              </w:rPr>
              <w:fldChar w:fldCharType="end"/>
            </w:r>
          </w:hyperlink>
        </w:p>
        <w:p w14:paraId="27AB7E59" w14:textId="743B28E9"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1" w:history="1">
            <w:r w:rsidR="00A27AEA" w:rsidRPr="00661E03">
              <w:rPr>
                <w:rStyle w:val="Hyperlink"/>
                <w:noProof/>
              </w:rPr>
              <w:t>Financial Review</w:t>
            </w:r>
            <w:r w:rsidR="00A27AEA">
              <w:rPr>
                <w:noProof/>
                <w:webHidden/>
              </w:rPr>
              <w:tab/>
            </w:r>
            <w:r w:rsidR="00A27AEA">
              <w:rPr>
                <w:noProof/>
                <w:webHidden/>
              </w:rPr>
              <w:fldChar w:fldCharType="begin"/>
            </w:r>
            <w:r w:rsidR="00A27AEA">
              <w:rPr>
                <w:noProof/>
                <w:webHidden/>
              </w:rPr>
              <w:instrText xml:space="preserve"> PAGEREF _Toc87614381 \h </w:instrText>
            </w:r>
            <w:r w:rsidR="00A27AEA">
              <w:rPr>
                <w:noProof/>
                <w:webHidden/>
              </w:rPr>
            </w:r>
            <w:r w:rsidR="00A27AEA">
              <w:rPr>
                <w:noProof/>
                <w:webHidden/>
              </w:rPr>
              <w:fldChar w:fldCharType="separate"/>
            </w:r>
            <w:r w:rsidR="00A27AEA">
              <w:rPr>
                <w:noProof/>
                <w:webHidden/>
              </w:rPr>
              <w:t>22</w:t>
            </w:r>
            <w:r w:rsidR="00A27AEA">
              <w:rPr>
                <w:noProof/>
                <w:webHidden/>
              </w:rPr>
              <w:fldChar w:fldCharType="end"/>
            </w:r>
          </w:hyperlink>
        </w:p>
        <w:p w14:paraId="791AEF20" w14:textId="2D25D549"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2" w:history="1">
            <w:r w:rsidR="00A27AEA" w:rsidRPr="00661E03">
              <w:rPr>
                <w:rStyle w:val="Hyperlink"/>
                <w:noProof/>
              </w:rPr>
              <w:t>Principal risks and uncertainties</w:t>
            </w:r>
            <w:r w:rsidR="00A27AEA">
              <w:rPr>
                <w:noProof/>
                <w:webHidden/>
              </w:rPr>
              <w:tab/>
            </w:r>
            <w:r w:rsidR="00A27AEA">
              <w:rPr>
                <w:noProof/>
                <w:webHidden/>
              </w:rPr>
              <w:fldChar w:fldCharType="begin"/>
            </w:r>
            <w:r w:rsidR="00A27AEA">
              <w:rPr>
                <w:noProof/>
                <w:webHidden/>
              </w:rPr>
              <w:instrText xml:space="preserve"> PAGEREF _Toc87614382 \h </w:instrText>
            </w:r>
            <w:r w:rsidR="00A27AEA">
              <w:rPr>
                <w:noProof/>
                <w:webHidden/>
              </w:rPr>
            </w:r>
            <w:r w:rsidR="00A27AEA">
              <w:rPr>
                <w:noProof/>
                <w:webHidden/>
              </w:rPr>
              <w:fldChar w:fldCharType="separate"/>
            </w:r>
            <w:r w:rsidR="00A27AEA">
              <w:rPr>
                <w:noProof/>
                <w:webHidden/>
              </w:rPr>
              <w:t>22</w:t>
            </w:r>
            <w:r w:rsidR="00A27AEA">
              <w:rPr>
                <w:noProof/>
                <w:webHidden/>
              </w:rPr>
              <w:fldChar w:fldCharType="end"/>
            </w:r>
          </w:hyperlink>
        </w:p>
        <w:p w14:paraId="195493D1" w14:textId="464C25FE"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3" w:history="1">
            <w:r w:rsidR="00A27AEA" w:rsidRPr="00661E03">
              <w:rPr>
                <w:rStyle w:val="Hyperlink"/>
                <w:noProof/>
              </w:rPr>
              <w:t>Reserves policy and going concern</w:t>
            </w:r>
            <w:r w:rsidR="00A27AEA">
              <w:rPr>
                <w:noProof/>
                <w:webHidden/>
              </w:rPr>
              <w:tab/>
            </w:r>
            <w:r w:rsidR="00A27AEA">
              <w:rPr>
                <w:noProof/>
                <w:webHidden/>
              </w:rPr>
              <w:fldChar w:fldCharType="begin"/>
            </w:r>
            <w:r w:rsidR="00A27AEA">
              <w:rPr>
                <w:noProof/>
                <w:webHidden/>
              </w:rPr>
              <w:instrText xml:space="preserve"> PAGEREF _Toc87614383 \h </w:instrText>
            </w:r>
            <w:r w:rsidR="00A27AEA">
              <w:rPr>
                <w:noProof/>
                <w:webHidden/>
              </w:rPr>
            </w:r>
            <w:r w:rsidR="00A27AEA">
              <w:rPr>
                <w:noProof/>
                <w:webHidden/>
              </w:rPr>
              <w:fldChar w:fldCharType="separate"/>
            </w:r>
            <w:r w:rsidR="00A27AEA">
              <w:rPr>
                <w:noProof/>
                <w:webHidden/>
              </w:rPr>
              <w:t>24</w:t>
            </w:r>
            <w:r w:rsidR="00A27AEA">
              <w:rPr>
                <w:noProof/>
                <w:webHidden/>
              </w:rPr>
              <w:fldChar w:fldCharType="end"/>
            </w:r>
          </w:hyperlink>
        </w:p>
        <w:p w14:paraId="5CB76FB2" w14:textId="552E2033"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4" w:history="1">
            <w:r w:rsidR="00A27AEA" w:rsidRPr="00661E03">
              <w:rPr>
                <w:rStyle w:val="Hyperlink"/>
                <w:noProof/>
              </w:rPr>
              <w:t>Investment Policy</w:t>
            </w:r>
            <w:r w:rsidR="00A27AEA">
              <w:rPr>
                <w:noProof/>
                <w:webHidden/>
              </w:rPr>
              <w:tab/>
            </w:r>
            <w:r w:rsidR="00A27AEA">
              <w:rPr>
                <w:noProof/>
                <w:webHidden/>
              </w:rPr>
              <w:fldChar w:fldCharType="begin"/>
            </w:r>
            <w:r w:rsidR="00A27AEA">
              <w:rPr>
                <w:noProof/>
                <w:webHidden/>
              </w:rPr>
              <w:instrText xml:space="preserve"> PAGEREF _Toc87614384 \h </w:instrText>
            </w:r>
            <w:r w:rsidR="00A27AEA">
              <w:rPr>
                <w:noProof/>
                <w:webHidden/>
              </w:rPr>
            </w:r>
            <w:r w:rsidR="00A27AEA">
              <w:rPr>
                <w:noProof/>
                <w:webHidden/>
              </w:rPr>
              <w:fldChar w:fldCharType="separate"/>
            </w:r>
            <w:r w:rsidR="00A27AEA">
              <w:rPr>
                <w:noProof/>
                <w:webHidden/>
              </w:rPr>
              <w:t>24</w:t>
            </w:r>
            <w:r w:rsidR="00A27AEA">
              <w:rPr>
                <w:noProof/>
                <w:webHidden/>
              </w:rPr>
              <w:fldChar w:fldCharType="end"/>
            </w:r>
          </w:hyperlink>
        </w:p>
        <w:p w14:paraId="0444F767" w14:textId="1AB517D1"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5" w:history="1">
            <w:r w:rsidR="00A27AEA" w:rsidRPr="00661E03">
              <w:rPr>
                <w:rStyle w:val="Hyperlink"/>
                <w:noProof/>
              </w:rPr>
              <w:t>Plans for the future</w:t>
            </w:r>
            <w:r w:rsidR="00A27AEA">
              <w:rPr>
                <w:noProof/>
                <w:webHidden/>
              </w:rPr>
              <w:tab/>
            </w:r>
            <w:r w:rsidR="00A27AEA">
              <w:rPr>
                <w:noProof/>
                <w:webHidden/>
              </w:rPr>
              <w:fldChar w:fldCharType="begin"/>
            </w:r>
            <w:r w:rsidR="00A27AEA">
              <w:rPr>
                <w:noProof/>
                <w:webHidden/>
              </w:rPr>
              <w:instrText xml:space="preserve"> PAGEREF _Toc87614385 \h </w:instrText>
            </w:r>
            <w:r w:rsidR="00A27AEA">
              <w:rPr>
                <w:noProof/>
                <w:webHidden/>
              </w:rPr>
            </w:r>
            <w:r w:rsidR="00A27AEA">
              <w:rPr>
                <w:noProof/>
                <w:webHidden/>
              </w:rPr>
              <w:fldChar w:fldCharType="separate"/>
            </w:r>
            <w:r w:rsidR="00A27AEA">
              <w:rPr>
                <w:noProof/>
                <w:webHidden/>
              </w:rPr>
              <w:t>25</w:t>
            </w:r>
            <w:r w:rsidR="00A27AEA">
              <w:rPr>
                <w:noProof/>
                <w:webHidden/>
              </w:rPr>
              <w:fldChar w:fldCharType="end"/>
            </w:r>
          </w:hyperlink>
        </w:p>
        <w:p w14:paraId="64D3E7EF" w14:textId="4CB9AD1D"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6" w:history="1">
            <w:r w:rsidR="00A27AEA" w:rsidRPr="00661E03">
              <w:rPr>
                <w:rStyle w:val="Hyperlink"/>
                <w:noProof/>
              </w:rPr>
              <w:t>Positioning for future growth and sustainability</w:t>
            </w:r>
            <w:r w:rsidR="00A27AEA">
              <w:rPr>
                <w:noProof/>
                <w:webHidden/>
              </w:rPr>
              <w:tab/>
            </w:r>
            <w:r w:rsidR="00A27AEA">
              <w:rPr>
                <w:noProof/>
                <w:webHidden/>
              </w:rPr>
              <w:fldChar w:fldCharType="begin"/>
            </w:r>
            <w:r w:rsidR="00A27AEA">
              <w:rPr>
                <w:noProof/>
                <w:webHidden/>
              </w:rPr>
              <w:instrText xml:space="preserve"> PAGEREF _Toc87614386 \h </w:instrText>
            </w:r>
            <w:r w:rsidR="00A27AEA">
              <w:rPr>
                <w:noProof/>
                <w:webHidden/>
              </w:rPr>
            </w:r>
            <w:r w:rsidR="00A27AEA">
              <w:rPr>
                <w:noProof/>
                <w:webHidden/>
              </w:rPr>
              <w:fldChar w:fldCharType="separate"/>
            </w:r>
            <w:r w:rsidR="00A27AEA">
              <w:rPr>
                <w:noProof/>
                <w:webHidden/>
              </w:rPr>
              <w:t>26</w:t>
            </w:r>
            <w:r w:rsidR="00A27AEA">
              <w:rPr>
                <w:noProof/>
                <w:webHidden/>
              </w:rPr>
              <w:fldChar w:fldCharType="end"/>
            </w:r>
          </w:hyperlink>
        </w:p>
        <w:p w14:paraId="30759A89" w14:textId="7EC40436"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7" w:history="1">
            <w:r w:rsidR="00A27AEA" w:rsidRPr="00661E03">
              <w:rPr>
                <w:rStyle w:val="Hyperlink"/>
                <w:noProof/>
              </w:rPr>
              <w:t>Remuneration policy for key management personnel</w:t>
            </w:r>
            <w:r w:rsidR="00A27AEA">
              <w:rPr>
                <w:noProof/>
                <w:webHidden/>
              </w:rPr>
              <w:tab/>
            </w:r>
            <w:r w:rsidR="00A27AEA">
              <w:rPr>
                <w:noProof/>
                <w:webHidden/>
              </w:rPr>
              <w:fldChar w:fldCharType="begin"/>
            </w:r>
            <w:r w:rsidR="00A27AEA">
              <w:rPr>
                <w:noProof/>
                <w:webHidden/>
              </w:rPr>
              <w:instrText xml:space="preserve"> PAGEREF _Toc87614387 \h </w:instrText>
            </w:r>
            <w:r w:rsidR="00A27AEA">
              <w:rPr>
                <w:noProof/>
                <w:webHidden/>
              </w:rPr>
            </w:r>
            <w:r w:rsidR="00A27AEA">
              <w:rPr>
                <w:noProof/>
                <w:webHidden/>
              </w:rPr>
              <w:fldChar w:fldCharType="separate"/>
            </w:r>
            <w:r w:rsidR="00A27AEA">
              <w:rPr>
                <w:noProof/>
                <w:webHidden/>
              </w:rPr>
              <w:t>26</w:t>
            </w:r>
            <w:r w:rsidR="00A27AEA">
              <w:rPr>
                <w:noProof/>
                <w:webHidden/>
              </w:rPr>
              <w:fldChar w:fldCharType="end"/>
            </w:r>
          </w:hyperlink>
        </w:p>
        <w:p w14:paraId="2AB64406" w14:textId="068C2AEC"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8" w:history="1">
            <w:r w:rsidR="00A27AEA" w:rsidRPr="00661E03">
              <w:rPr>
                <w:rStyle w:val="Hyperlink"/>
                <w:noProof/>
              </w:rPr>
              <w:t>Related parties and relationships with other organisations</w:t>
            </w:r>
            <w:r w:rsidR="00A27AEA">
              <w:rPr>
                <w:noProof/>
                <w:webHidden/>
              </w:rPr>
              <w:tab/>
            </w:r>
            <w:r w:rsidR="00A27AEA">
              <w:rPr>
                <w:noProof/>
                <w:webHidden/>
              </w:rPr>
              <w:fldChar w:fldCharType="begin"/>
            </w:r>
            <w:r w:rsidR="00A27AEA">
              <w:rPr>
                <w:noProof/>
                <w:webHidden/>
              </w:rPr>
              <w:instrText xml:space="preserve"> PAGEREF _Toc87614388 \h </w:instrText>
            </w:r>
            <w:r w:rsidR="00A27AEA">
              <w:rPr>
                <w:noProof/>
                <w:webHidden/>
              </w:rPr>
            </w:r>
            <w:r w:rsidR="00A27AEA">
              <w:rPr>
                <w:noProof/>
                <w:webHidden/>
              </w:rPr>
              <w:fldChar w:fldCharType="separate"/>
            </w:r>
            <w:r w:rsidR="00A27AEA">
              <w:rPr>
                <w:noProof/>
                <w:webHidden/>
              </w:rPr>
              <w:t>26</w:t>
            </w:r>
            <w:r w:rsidR="00A27AEA">
              <w:rPr>
                <w:noProof/>
                <w:webHidden/>
              </w:rPr>
              <w:fldChar w:fldCharType="end"/>
            </w:r>
          </w:hyperlink>
        </w:p>
        <w:p w14:paraId="2D5C743F" w14:textId="6B569A4E"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89" w:history="1">
            <w:r w:rsidR="00A27AEA" w:rsidRPr="00661E03">
              <w:rPr>
                <w:rStyle w:val="Hyperlink"/>
                <w:noProof/>
              </w:rPr>
              <w:t>Pro bono relationships</w:t>
            </w:r>
            <w:r w:rsidR="00A27AEA">
              <w:rPr>
                <w:noProof/>
                <w:webHidden/>
              </w:rPr>
              <w:tab/>
            </w:r>
            <w:r w:rsidR="00A27AEA">
              <w:rPr>
                <w:noProof/>
                <w:webHidden/>
              </w:rPr>
              <w:fldChar w:fldCharType="begin"/>
            </w:r>
            <w:r w:rsidR="00A27AEA">
              <w:rPr>
                <w:noProof/>
                <w:webHidden/>
              </w:rPr>
              <w:instrText xml:space="preserve"> PAGEREF _Toc87614389 \h </w:instrText>
            </w:r>
            <w:r w:rsidR="00A27AEA">
              <w:rPr>
                <w:noProof/>
                <w:webHidden/>
              </w:rPr>
            </w:r>
            <w:r w:rsidR="00A27AEA">
              <w:rPr>
                <w:noProof/>
                <w:webHidden/>
              </w:rPr>
              <w:fldChar w:fldCharType="separate"/>
            </w:r>
            <w:r w:rsidR="00A27AEA">
              <w:rPr>
                <w:noProof/>
                <w:webHidden/>
              </w:rPr>
              <w:t>26</w:t>
            </w:r>
            <w:r w:rsidR="00A27AEA">
              <w:rPr>
                <w:noProof/>
                <w:webHidden/>
              </w:rPr>
              <w:fldChar w:fldCharType="end"/>
            </w:r>
          </w:hyperlink>
        </w:p>
        <w:p w14:paraId="4EE4551A" w14:textId="7FD7B0E5"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90" w:history="1">
            <w:r w:rsidR="00A27AEA" w:rsidRPr="00661E03">
              <w:rPr>
                <w:rStyle w:val="Hyperlink"/>
                <w:noProof/>
              </w:rPr>
              <w:t xml:space="preserve">Statement of responsibilities of the </w:t>
            </w:r>
            <w:r w:rsidR="00D82997">
              <w:rPr>
                <w:rStyle w:val="Hyperlink"/>
                <w:noProof/>
              </w:rPr>
              <w:t>Trustee</w:t>
            </w:r>
            <w:r w:rsidR="00A27AEA" w:rsidRPr="00661E03">
              <w:rPr>
                <w:rStyle w:val="Hyperlink"/>
                <w:noProof/>
              </w:rPr>
              <w:t>s</w:t>
            </w:r>
            <w:r w:rsidR="00A27AEA">
              <w:rPr>
                <w:noProof/>
                <w:webHidden/>
              </w:rPr>
              <w:tab/>
            </w:r>
            <w:r w:rsidR="00A27AEA">
              <w:rPr>
                <w:noProof/>
                <w:webHidden/>
              </w:rPr>
              <w:fldChar w:fldCharType="begin"/>
            </w:r>
            <w:r w:rsidR="00A27AEA">
              <w:rPr>
                <w:noProof/>
                <w:webHidden/>
              </w:rPr>
              <w:instrText xml:space="preserve"> PAGEREF _Toc87614390 \h </w:instrText>
            </w:r>
            <w:r w:rsidR="00A27AEA">
              <w:rPr>
                <w:noProof/>
                <w:webHidden/>
              </w:rPr>
            </w:r>
            <w:r w:rsidR="00A27AEA">
              <w:rPr>
                <w:noProof/>
                <w:webHidden/>
              </w:rPr>
              <w:fldChar w:fldCharType="separate"/>
            </w:r>
            <w:r w:rsidR="00A27AEA">
              <w:rPr>
                <w:noProof/>
                <w:webHidden/>
              </w:rPr>
              <w:t>27</w:t>
            </w:r>
            <w:r w:rsidR="00A27AEA">
              <w:rPr>
                <w:noProof/>
                <w:webHidden/>
              </w:rPr>
              <w:fldChar w:fldCharType="end"/>
            </w:r>
          </w:hyperlink>
        </w:p>
        <w:p w14:paraId="28A19379" w14:textId="3C1F90A5"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91" w:history="1">
            <w:r w:rsidR="00A27AEA" w:rsidRPr="00661E03">
              <w:rPr>
                <w:rStyle w:val="Hyperlink"/>
                <w:noProof/>
              </w:rPr>
              <w:t>Auditor</w:t>
            </w:r>
            <w:r w:rsidR="00A27AEA">
              <w:rPr>
                <w:noProof/>
                <w:webHidden/>
              </w:rPr>
              <w:tab/>
            </w:r>
            <w:r w:rsidR="00A27AEA">
              <w:rPr>
                <w:noProof/>
                <w:webHidden/>
              </w:rPr>
              <w:fldChar w:fldCharType="begin"/>
            </w:r>
            <w:r w:rsidR="00A27AEA">
              <w:rPr>
                <w:noProof/>
                <w:webHidden/>
              </w:rPr>
              <w:instrText xml:space="preserve"> PAGEREF _Toc87614391 \h </w:instrText>
            </w:r>
            <w:r w:rsidR="00A27AEA">
              <w:rPr>
                <w:noProof/>
                <w:webHidden/>
              </w:rPr>
            </w:r>
            <w:r w:rsidR="00A27AEA">
              <w:rPr>
                <w:noProof/>
                <w:webHidden/>
              </w:rPr>
              <w:fldChar w:fldCharType="separate"/>
            </w:r>
            <w:r w:rsidR="00A27AEA">
              <w:rPr>
                <w:noProof/>
                <w:webHidden/>
              </w:rPr>
              <w:t>28</w:t>
            </w:r>
            <w:r w:rsidR="00A27AEA">
              <w:rPr>
                <w:noProof/>
                <w:webHidden/>
              </w:rPr>
              <w:fldChar w:fldCharType="end"/>
            </w:r>
          </w:hyperlink>
        </w:p>
        <w:p w14:paraId="59A3584E" w14:textId="5133D9E4" w:rsidR="00A27AEA" w:rsidRDefault="00934EAA">
          <w:pPr>
            <w:pStyle w:val="TOC1"/>
            <w:tabs>
              <w:tab w:val="right" w:leader="dot" w:pos="9010"/>
            </w:tabs>
            <w:rPr>
              <w:rFonts w:asciiTheme="minorHAnsi" w:eastAsiaTheme="minorEastAsia" w:hAnsiTheme="minorHAnsi" w:cstheme="minorBidi"/>
              <w:b w:val="0"/>
              <w:bCs w:val="0"/>
              <w:iCs w:val="0"/>
              <w:noProof/>
              <w:color w:val="auto"/>
              <w:lang w:eastAsia="en-GB"/>
            </w:rPr>
          </w:pPr>
          <w:hyperlink w:anchor="_Toc87614392" w:history="1">
            <w:r w:rsidR="00A27AEA" w:rsidRPr="00661E03">
              <w:rPr>
                <w:rStyle w:val="Hyperlink"/>
                <w:noProof/>
              </w:rPr>
              <w:t>Consolidated statement of financial activities</w:t>
            </w:r>
            <w:r w:rsidR="00A27AEA">
              <w:rPr>
                <w:noProof/>
                <w:webHidden/>
              </w:rPr>
              <w:tab/>
            </w:r>
            <w:r w:rsidR="00A27AEA">
              <w:rPr>
                <w:noProof/>
                <w:webHidden/>
              </w:rPr>
              <w:fldChar w:fldCharType="begin"/>
            </w:r>
            <w:r w:rsidR="00A27AEA">
              <w:rPr>
                <w:noProof/>
                <w:webHidden/>
              </w:rPr>
              <w:instrText xml:space="preserve"> PAGEREF _Toc87614392 \h </w:instrText>
            </w:r>
            <w:r w:rsidR="00A27AEA">
              <w:rPr>
                <w:noProof/>
                <w:webHidden/>
              </w:rPr>
            </w:r>
            <w:r w:rsidR="00A27AEA">
              <w:rPr>
                <w:noProof/>
                <w:webHidden/>
              </w:rPr>
              <w:fldChar w:fldCharType="separate"/>
            </w:r>
            <w:r w:rsidR="00A27AEA">
              <w:rPr>
                <w:noProof/>
                <w:webHidden/>
              </w:rPr>
              <w:t>29</w:t>
            </w:r>
            <w:r w:rsidR="00A27AEA">
              <w:rPr>
                <w:noProof/>
                <w:webHidden/>
              </w:rPr>
              <w:fldChar w:fldCharType="end"/>
            </w:r>
          </w:hyperlink>
        </w:p>
        <w:p w14:paraId="6A7F8FE2" w14:textId="409C5A0E"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93" w:history="1">
            <w:r w:rsidR="00A27AEA" w:rsidRPr="00661E03">
              <w:rPr>
                <w:rStyle w:val="Hyperlink"/>
                <w:noProof/>
              </w:rPr>
              <w:t>Balance sheets</w:t>
            </w:r>
            <w:r w:rsidR="00A27AEA">
              <w:rPr>
                <w:noProof/>
                <w:webHidden/>
              </w:rPr>
              <w:tab/>
            </w:r>
            <w:r w:rsidR="00A27AEA">
              <w:rPr>
                <w:noProof/>
                <w:webHidden/>
              </w:rPr>
              <w:fldChar w:fldCharType="begin"/>
            </w:r>
            <w:r w:rsidR="00A27AEA">
              <w:rPr>
                <w:noProof/>
                <w:webHidden/>
              </w:rPr>
              <w:instrText xml:space="preserve"> PAGEREF _Toc87614393 \h </w:instrText>
            </w:r>
            <w:r w:rsidR="00A27AEA">
              <w:rPr>
                <w:noProof/>
                <w:webHidden/>
              </w:rPr>
            </w:r>
            <w:r w:rsidR="00A27AEA">
              <w:rPr>
                <w:noProof/>
                <w:webHidden/>
              </w:rPr>
              <w:fldChar w:fldCharType="separate"/>
            </w:r>
            <w:r w:rsidR="00A27AEA">
              <w:rPr>
                <w:noProof/>
                <w:webHidden/>
              </w:rPr>
              <w:t>30</w:t>
            </w:r>
            <w:r w:rsidR="00A27AEA">
              <w:rPr>
                <w:noProof/>
                <w:webHidden/>
              </w:rPr>
              <w:fldChar w:fldCharType="end"/>
            </w:r>
          </w:hyperlink>
        </w:p>
        <w:p w14:paraId="3ABFD25A" w14:textId="2F923F8E"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94" w:history="1">
            <w:r w:rsidR="00A27AEA" w:rsidRPr="00661E03">
              <w:rPr>
                <w:rStyle w:val="Hyperlink"/>
                <w:noProof/>
              </w:rPr>
              <w:t>Consolidated statement of cash flows</w:t>
            </w:r>
            <w:r w:rsidR="00A27AEA">
              <w:rPr>
                <w:noProof/>
                <w:webHidden/>
              </w:rPr>
              <w:tab/>
            </w:r>
            <w:r w:rsidR="00A27AEA">
              <w:rPr>
                <w:noProof/>
                <w:webHidden/>
              </w:rPr>
              <w:fldChar w:fldCharType="begin"/>
            </w:r>
            <w:r w:rsidR="00A27AEA">
              <w:rPr>
                <w:noProof/>
                <w:webHidden/>
              </w:rPr>
              <w:instrText xml:space="preserve"> PAGEREF _Toc87614394 \h </w:instrText>
            </w:r>
            <w:r w:rsidR="00A27AEA">
              <w:rPr>
                <w:noProof/>
                <w:webHidden/>
              </w:rPr>
            </w:r>
            <w:r w:rsidR="00A27AEA">
              <w:rPr>
                <w:noProof/>
                <w:webHidden/>
              </w:rPr>
              <w:fldChar w:fldCharType="separate"/>
            </w:r>
            <w:r w:rsidR="00A27AEA">
              <w:rPr>
                <w:noProof/>
                <w:webHidden/>
              </w:rPr>
              <w:t>31</w:t>
            </w:r>
            <w:r w:rsidR="00A27AEA">
              <w:rPr>
                <w:noProof/>
                <w:webHidden/>
              </w:rPr>
              <w:fldChar w:fldCharType="end"/>
            </w:r>
          </w:hyperlink>
        </w:p>
        <w:p w14:paraId="6BF5AD32" w14:textId="45E3DD63" w:rsidR="00A27AEA" w:rsidRDefault="00934EAA">
          <w:pPr>
            <w:pStyle w:val="TOC2"/>
            <w:tabs>
              <w:tab w:val="right" w:leader="dot" w:pos="9010"/>
            </w:tabs>
            <w:rPr>
              <w:rFonts w:asciiTheme="minorHAnsi" w:eastAsiaTheme="minorEastAsia" w:hAnsiTheme="minorHAnsi" w:cstheme="minorBidi"/>
              <w:bCs w:val="0"/>
              <w:noProof/>
              <w:color w:val="auto"/>
              <w:szCs w:val="24"/>
              <w:lang w:eastAsia="en-GB"/>
            </w:rPr>
          </w:pPr>
          <w:hyperlink w:anchor="_Toc87614395" w:history="1">
            <w:r w:rsidR="00A27AEA" w:rsidRPr="00661E03">
              <w:rPr>
                <w:rStyle w:val="Hyperlink"/>
                <w:noProof/>
              </w:rPr>
              <w:t>Notes to the financial statements</w:t>
            </w:r>
            <w:r w:rsidR="00A27AEA">
              <w:rPr>
                <w:noProof/>
                <w:webHidden/>
              </w:rPr>
              <w:tab/>
            </w:r>
            <w:r w:rsidR="00A27AEA">
              <w:rPr>
                <w:noProof/>
                <w:webHidden/>
              </w:rPr>
              <w:fldChar w:fldCharType="begin"/>
            </w:r>
            <w:r w:rsidR="00A27AEA">
              <w:rPr>
                <w:noProof/>
                <w:webHidden/>
              </w:rPr>
              <w:instrText xml:space="preserve"> PAGEREF _Toc87614395 \h </w:instrText>
            </w:r>
            <w:r w:rsidR="00A27AEA">
              <w:rPr>
                <w:noProof/>
                <w:webHidden/>
              </w:rPr>
            </w:r>
            <w:r w:rsidR="00A27AEA">
              <w:rPr>
                <w:noProof/>
                <w:webHidden/>
              </w:rPr>
              <w:fldChar w:fldCharType="separate"/>
            </w:r>
            <w:r w:rsidR="00A27AEA">
              <w:rPr>
                <w:noProof/>
                <w:webHidden/>
              </w:rPr>
              <w:t>32</w:t>
            </w:r>
            <w:r w:rsidR="00A27AEA">
              <w:rPr>
                <w:noProof/>
                <w:webHidden/>
              </w:rPr>
              <w:fldChar w:fldCharType="end"/>
            </w:r>
          </w:hyperlink>
        </w:p>
        <w:p w14:paraId="17FF68EE" w14:textId="59F9309B" w:rsidR="00546CE5" w:rsidRDefault="00C65369" w:rsidP="00A27AEA">
          <w:pPr>
            <w:pStyle w:val="TOCHeading"/>
            <w:spacing w:before="0"/>
          </w:pPr>
          <w:r>
            <w:rPr>
              <w:rFonts w:asciiTheme="minorHAnsi" w:hAnsiTheme="minorHAnsi" w:cstheme="minorHAnsi"/>
              <w:b w:val="0"/>
              <w:color w:val="4565AE"/>
              <w:szCs w:val="24"/>
            </w:rPr>
            <w:lastRenderedPageBreak/>
            <w:fldChar w:fldCharType="end"/>
          </w:r>
        </w:p>
      </w:sdtContent>
    </w:sdt>
    <w:p w14:paraId="1FBBC7D7" w14:textId="01EE395C" w:rsidR="00A67720" w:rsidRDefault="00A67720" w:rsidP="00E53E1A">
      <w:pPr>
        <w:spacing w:line="276" w:lineRule="auto"/>
        <w:ind w:right="1589"/>
        <w:rPr>
          <w:rFonts w:ascii="Lucida Sans Unicode"/>
          <w:sz w:val="28"/>
        </w:rPr>
      </w:pPr>
    </w:p>
    <w:p w14:paraId="11861084" w14:textId="77777777" w:rsidR="00924777" w:rsidRPr="00924777" w:rsidRDefault="00A67720" w:rsidP="00924777">
      <w:pPr>
        <w:pStyle w:val="Heading1"/>
      </w:pPr>
      <w:bookmarkStart w:id="4" w:name="_Toc87614366"/>
      <w:r w:rsidRPr="00924777">
        <w:t xml:space="preserve">Foreword from </w:t>
      </w:r>
      <w:bookmarkEnd w:id="4"/>
      <w:r w:rsidR="00924777" w:rsidRPr="00924777">
        <w:t>HRH The Countess of Wessex</w:t>
      </w:r>
    </w:p>
    <w:p w14:paraId="544647CE" w14:textId="2EDB4B9F" w:rsidR="00A67720" w:rsidRDefault="00924777" w:rsidP="00F64A91">
      <w:pPr>
        <w:pStyle w:val="Heading3"/>
      </w:pPr>
      <w:r>
        <w:t>Royal Patron</w:t>
      </w:r>
    </w:p>
    <w:p w14:paraId="60A2CDCE" w14:textId="77777777" w:rsidR="00924777" w:rsidRPr="00924777" w:rsidRDefault="00924777" w:rsidP="00924777">
      <w:pPr>
        <w:pStyle w:val="BodyText"/>
      </w:pPr>
      <w:r w:rsidRPr="00924777">
        <w:t xml:space="preserve">I am honoured to be the Patron of the Vision Foundation and incredibly proud of the work that the charity has delivered over many years, but it is perhaps their </w:t>
      </w:r>
      <w:proofErr w:type="gramStart"/>
      <w:r w:rsidRPr="00924777">
        <w:t>plans for the future</w:t>
      </w:r>
      <w:proofErr w:type="gramEnd"/>
      <w:r w:rsidRPr="00924777">
        <w:t xml:space="preserve"> that excite me the most. </w:t>
      </w:r>
    </w:p>
    <w:p w14:paraId="60BE3951" w14:textId="77777777" w:rsidR="00924777" w:rsidRPr="00924777" w:rsidRDefault="00924777" w:rsidP="00924777">
      <w:pPr>
        <w:pStyle w:val="BodyText"/>
      </w:pPr>
      <w:r w:rsidRPr="00924777">
        <w:t xml:space="preserve">Today, 2.5 million people are living with sight loss in the UK, too many of whom are facing significant challenges and ever-worsening life chances. Too many are excluded from employment, too many </w:t>
      </w:r>
      <w:proofErr w:type="gramStart"/>
      <w:r w:rsidRPr="00924777">
        <w:t>face</w:t>
      </w:r>
      <w:proofErr w:type="gramEnd"/>
      <w:r w:rsidRPr="00924777">
        <w:t xml:space="preserve"> abuse and discrimination, and far too many are at risk of being vulnerable or lonely, depressed or anxious. Meanwhile, a growing number of people are needlessly going blind, as estimated half of blindness in the UK could have been prevented.</w:t>
      </w:r>
    </w:p>
    <w:p w14:paraId="7CA9BE53" w14:textId="77777777" w:rsidR="00924777" w:rsidRPr="00924777" w:rsidRDefault="00924777" w:rsidP="00924777">
      <w:pPr>
        <w:pStyle w:val="BodyText"/>
      </w:pPr>
      <w:r w:rsidRPr="00924777">
        <w:t xml:space="preserve">Over the last 100 years, the Vision Foundation has been resolute in addressing these challenges by playing a key role in changing the lives of thousands of blind and partially sighted people across London. This new vision for a future where blind and partially sighted people </w:t>
      </w:r>
      <w:proofErr w:type="gramStart"/>
      <w:r w:rsidRPr="00924777">
        <w:t>are</w:t>
      </w:r>
      <w:proofErr w:type="gramEnd"/>
      <w:r w:rsidRPr="00924777">
        <w:t xml:space="preserve"> made equal citizens, and preventable blindness is made a thing of history is the aspiration that we must set ourselves. </w:t>
      </w:r>
    </w:p>
    <w:p w14:paraId="091871CE" w14:textId="5F345219" w:rsidR="00A67720" w:rsidRPr="00924777" w:rsidRDefault="00924777" w:rsidP="00924777">
      <w:pPr>
        <w:pStyle w:val="BodyText"/>
      </w:pPr>
      <w:r w:rsidRPr="00924777">
        <w:t xml:space="preserve">I have seen first-hand that by bringing together the right passion, expertise, and rigour, the Vision Foundation is effectively working to build a London where everyone with sight loss is empowered and supported to live life to the full. In celebration of the Foundation’s 100th Birthday, now is the time for all of us to </w:t>
      </w:r>
      <w:proofErr w:type="gramStart"/>
      <w:r w:rsidRPr="00924777">
        <w:t>take action</w:t>
      </w:r>
      <w:proofErr w:type="gramEnd"/>
      <w:r w:rsidRPr="00924777">
        <w:t>, come together, and work in partnership to deliver change.</w:t>
      </w:r>
    </w:p>
    <w:p w14:paraId="065286F3" w14:textId="77777777" w:rsidR="00924777" w:rsidRDefault="00924777" w:rsidP="00924777"/>
    <w:p w14:paraId="4A826C87" w14:textId="7A2E9553" w:rsidR="00924777" w:rsidRPr="00924777" w:rsidRDefault="00924777" w:rsidP="00924777">
      <w:pPr>
        <w:pStyle w:val="Heading1"/>
      </w:pPr>
      <w:r w:rsidRPr="00924777">
        <w:t>Foreword from Naqi Rizvi</w:t>
      </w:r>
    </w:p>
    <w:p w14:paraId="33D1CCBE" w14:textId="3D5199D6" w:rsidR="00924777" w:rsidRDefault="00924777" w:rsidP="00F64A91">
      <w:pPr>
        <w:pStyle w:val="Heading3"/>
      </w:pPr>
      <w:r>
        <w:t>Chair of Centenary Appeal Board</w:t>
      </w:r>
    </w:p>
    <w:p w14:paraId="3EB5EEAC" w14:textId="0021D186" w:rsidR="00924777" w:rsidRDefault="00924777" w:rsidP="00924777">
      <w:pPr>
        <w:pStyle w:val="BodyText"/>
      </w:pPr>
      <w:r>
        <w:t xml:space="preserve">I was born with very little sight which gradually deteriorated and left me blind since I was seven. </w:t>
      </w:r>
    </w:p>
    <w:p w14:paraId="649205C3" w14:textId="77777777" w:rsidR="00924777" w:rsidRDefault="00924777" w:rsidP="00924777">
      <w:pPr>
        <w:pStyle w:val="BodyText"/>
      </w:pPr>
      <w:r>
        <w:t xml:space="preserve">Despite the daily challenges that I face because of the lack of a sense that most people rely on all the time, I’ve been able to lead a fulfilling life and have a good career. This is through perseverance, walking the untrodden path and people’s faith in my abilities and their willingness to take risks. </w:t>
      </w:r>
    </w:p>
    <w:p w14:paraId="50F3FC68" w14:textId="77777777" w:rsidR="00924777" w:rsidRDefault="00924777" w:rsidP="00924777">
      <w:pPr>
        <w:pStyle w:val="BodyText"/>
      </w:pPr>
      <w:r>
        <w:t xml:space="preserve">It deeply saddens me to know that 73% of blind and partially sighted people of working age in the UK are unemployed, which doesn’t only mean a lack of financial independence, but also lower confidence, more isolation and inequality in our communities. It’s also a huge, failed opportunity for employers who are missing out on great talent and potential. Research has shown that diverse companies perform better financially and are able to better represent the community they serve. </w:t>
      </w:r>
    </w:p>
    <w:p w14:paraId="4E41481B" w14:textId="77777777" w:rsidR="00924777" w:rsidRDefault="00924777" w:rsidP="00924777">
      <w:pPr>
        <w:pStyle w:val="BodyText"/>
      </w:pPr>
      <w:r>
        <w:lastRenderedPageBreak/>
        <w:t>I am determined to move the dial in a positive direction and am heartened by the amazing work of the Vision Foundation to address this and other inequalities for visually impaired people, and their unwavering determination to champion and empower the sight loss community. In this report, you can read about just some of their projects and campaigns that are changing lives and saving sight.</w:t>
      </w:r>
    </w:p>
    <w:p w14:paraId="4ECFDE0B" w14:textId="77777777" w:rsidR="00924777" w:rsidRDefault="00924777" w:rsidP="00924777">
      <w:pPr>
        <w:pStyle w:val="BodyText"/>
      </w:pPr>
    </w:p>
    <w:p w14:paraId="3D8C582D" w14:textId="46FC4CE7" w:rsidR="00A67720" w:rsidRDefault="00924777" w:rsidP="00924777">
      <w:pPr>
        <w:pStyle w:val="Heading1"/>
      </w:pPr>
      <w:r>
        <w:t>Foreword by The Rt Hon Sir John Major KG CH</w:t>
      </w:r>
    </w:p>
    <w:p w14:paraId="7BC08ABC" w14:textId="0BF15CE7" w:rsidR="00924777" w:rsidRDefault="00924777" w:rsidP="00F64A91">
      <w:pPr>
        <w:pStyle w:val="Heading3"/>
      </w:pPr>
      <w:r w:rsidRPr="00924777">
        <w:t>Vice President</w:t>
      </w:r>
    </w:p>
    <w:p w14:paraId="0708A138" w14:textId="3F38004D" w:rsidR="00924777" w:rsidRDefault="00924777" w:rsidP="00924777">
      <w:pPr>
        <w:pStyle w:val="BodyText"/>
      </w:pPr>
      <w:r>
        <w:t>My father lost his sight when I was a child. He lost his home, his money and – worst of all – his self-respect. I can remember, from a very young age, guiding him through Brixton to collect his pension:  a memory that has stayed with me for a lifetime. The experience taught me how exclusion, discrimination and despair can extinguish even the most positive of spirits. As my father’s world closed in around him, his life became ever more diminished.</w:t>
      </w:r>
    </w:p>
    <w:p w14:paraId="711D8C33" w14:textId="77777777" w:rsidR="00924777" w:rsidRDefault="00924777" w:rsidP="00924777">
      <w:pPr>
        <w:pStyle w:val="BodyText"/>
      </w:pPr>
      <w:r>
        <w:t xml:space="preserve">In February 2021, Vision Foundation launched their Centenary Appeal, celebrating their 100th Birthday with a renewed focus on how sight loss causes unemployment. The charity has set themselves the challenge of raising £1 million to change the employment landscape for blind and partially sighted </w:t>
      </w:r>
      <w:proofErr w:type="gramStart"/>
      <w:r>
        <w:t>people, and</w:t>
      </w:r>
      <w:proofErr w:type="gramEnd"/>
      <w:r>
        <w:t xml:space="preserve"> create more opportunities to help people into work. They began their initiative by funding research to better understand the barriers to employment – and how to overcome them – published in 2021 as the “See My Skills” report. </w:t>
      </w:r>
    </w:p>
    <w:p w14:paraId="15987CD6" w14:textId="77777777" w:rsidR="00924777" w:rsidRDefault="00924777" w:rsidP="00924777">
      <w:pPr>
        <w:pStyle w:val="BodyText"/>
      </w:pPr>
      <w:r>
        <w:t xml:space="preserve">I wholeheartedly support this initiative. The time has come to focus on what blind and partially sighted people can do, rather than what they cannot. It is time for all visually impaired </w:t>
      </w:r>
      <w:proofErr w:type="gramStart"/>
      <w:r>
        <w:t>job-seekers</w:t>
      </w:r>
      <w:proofErr w:type="gramEnd"/>
      <w:r>
        <w:t xml:space="preserve"> to shout from the rooftops “See My Skills”.  </w:t>
      </w:r>
    </w:p>
    <w:p w14:paraId="2950608D" w14:textId="15F9DE68" w:rsidR="00A67720" w:rsidRDefault="00924777" w:rsidP="00924777">
      <w:pPr>
        <w:pStyle w:val="BodyText"/>
      </w:pPr>
      <w:r>
        <w:t xml:space="preserve">In the following pages you will read about just how much the Vision Foundation has achieved in the last year – </w:t>
      </w:r>
      <w:proofErr w:type="gramStart"/>
      <w:r>
        <w:t>in spite of</w:t>
      </w:r>
      <w:proofErr w:type="gramEnd"/>
      <w:r>
        <w:t xml:space="preserve"> an unprecedented social and economic backdrop. And you will read about their bold ambitions going forwards. I invite you to join me in being part of their next century of impact and vision.</w:t>
      </w:r>
    </w:p>
    <w:p w14:paraId="2609B65D" w14:textId="77777777" w:rsidR="00924777" w:rsidRDefault="00924777">
      <w:pPr>
        <w:widowControl/>
        <w:autoSpaceDE/>
        <w:autoSpaceDN/>
      </w:pPr>
    </w:p>
    <w:p w14:paraId="27F707D0" w14:textId="0446FAA4" w:rsidR="00924777" w:rsidRPr="00924777" w:rsidRDefault="00924777" w:rsidP="00924777">
      <w:pPr>
        <w:pStyle w:val="Heading1"/>
      </w:pPr>
      <w:r w:rsidRPr="00924777">
        <w:t xml:space="preserve">Foreword by The Rt Hon Lord David Blunkett </w:t>
      </w:r>
    </w:p>
    <w:p w14:paraId="4AF3707B" w14:textId="37D0B114" w:rsidR="00924777" w:rsidRDefault="00924777" w:rsidP="00F64A91">
      <w:pPr>
        <w:pStyle w:val="Heading3"/>
      </w:pPr>
      <w:r w:rsidRPr="00B43216">
        <w:t>Vice President</w:t>
      </w:r>
    </w:p>
    <w:p w14:paraId="3F59C353" w14:textId="77777777" w:rsidR="00924777" w:rsidRDefault="00924777" w:rsidP="00B43216">
      <w:pPr>
        <w:pStyle w:val="BodyText"/>
      </w:pPr>
      <w:r>
        <w:t xml:space="preserve">As someone who has never been able to see, it wasn’t easy growing up blind in the fifties and sixties. Apart from anything else, people’s expectations were often dispiritingly low. At school, I was told that I could perhaps hope to become a lathe operator or a piano tuner – both of which are perfectly respectable but for which I had no aptitude. </w:t>
      </w:r>
    </w:p>
    <w:p w14:paraId="71A70F4E" w14:textId="77777777" w:rsidR="00924777" w:rsidRDefault="00924777" w:rsidP="00B43216">
      <w:pPr>
        <w:pStyle w:val="BodyText"/>
      </w:pPr>
      <w:r>
        <w:t xml:space="preserve">I had other plans, but it took years of evening classes and the belief and encouragement of friends, </w:t>
      </w:r>
      <w:proofErr w:type="gramStart"/>
      <w:r>
        <w:t>family</w:t>
      </w:r>
      <w:proofErr w:type="gramEnd"/>
      <w:r>
        <w:t xml:space="preserve"> and teachers for me to get the qualifications I needed for university. When I came into politics, I had to grow an even thicker skin and show people that I could do the same job as they did just as well, if not better, though I might do it in a different way.</w:t>
      </w:r>
    </w:p>
    <w:p w14:paraId="31032078" w14:textId="77777777" w:rsidR="00924777" w:rsidRDefault="00924777" w:rsidP="00B43216">
      <w:pPr>
        <w:pStyle w:val="BodyText"/>
      </w:pPr>
      <w:r>
        <w:t xml:space="preserve">It took a long time for people to see what I could do, rather than what I couldn’t, to see </w:t>
      </w:r>
      <w:r>
        <w:lastRenderedPageBreak/>
        <w:t>beyond my guide dog or white cane. And I’m not alone. The Vision Foundation has found that 94% of the public don’t think a blind person could do their job, and 90% of employers think it would be difficult or impossible to employ a blind person. These are staggering figures, and we will need to root down precisely why this response was forthcoming.</w:t>
      </w:r>
    </w:p>
    <w:p w14:paraId="60015C41" w14:textId="77777777" w:rsidR="00924777" w:rsidRDefault="00924777" w:rsidP="00B43216">
      <w:pPr>
        <w:pStyle w:val="BodyText"/>
      </w:pPr>
      <w:r>
        <w:t xml:space="preserve">These attitudes are what the Vision Foundation has set out to address this year by launching their focus on unemployment for those with sight loss, through the impressive “Spotlight on” event series; their ground-breaking research into the barriers to employment; and their public campaigns; all backed up with dedicated grants to support work on the front line. I could not be </w:t>
      </w:r>
      <w:proofErr w:type="gramStart"/>
      <w:r>
        <w:t>more proud</w:t>
      </w:r>
      <w:proofErr w:type="gramEnd"/>
      <w:r>
        <w:t xml:space="preserve"> to be a Vice President of the Vision Foundation. At 100 years old, their work is more vital and urgent than ever.  </w:t>
      </w:r>
    </w:p>
    <w:p w14:paraId="0AD0C9A2" w14:textId="77777777" w:rsidR="00B43216" w:rsidRDefault="00B43216">
      <w:pPr>
        <w:widowControl/>
        <w:autoSpaceDE/>
        <w:autoSpaceDN/>
      </w:pPr>
    </w:p>
    <w:p w14:paraId="0CEBB738" w14:textId="77777777" w:rsidR="00B43216" w:rsidRDefault="00B43216">
      <w:pPr>
        <w:widowControl/>
        <w:autoSpaceDE/>
        <w:autoSpaceDN/>
      </w:pPr>
    </w:p>
    <w:p w14:paraId="343B4EF8" w14:textId="77777777" w:rsidR="00B43216" w:rsidRPr="00B43216" w:rsidRDefault="00B43216" w:rsidP="00B43216">
      <w:pPr>
        <w:pStyle w:val="Heading1"/>
      </w:pPr>
      <w:r w:rsidRPr="00B43216">
        <w:t xml:space="preserve">Introduction </w:t>
      </w:r>
    </w:p>
    <w:p w14:paraId="62514028" w14:textId="77777777" w:rsidR="00B43216" w:rsidRDefault="00B43216" w:rsidP="00F64A91">
      <w:pPr>
        <w:pStyle w:val="Heading3"/>
        <w:rPr>
          <w:bCs/>
          <w:color w:val="11100D"/>
          <w:sz w:val="24"/>
          <w:szCs w:val="24"/>
        </w:rPr>
      </w:pPr>
      <w:r>
        <w:t>by our Chief Executive and Chair of Trustees</w:t>
      </w:r>
    </w:p>
    <w:p w14:paraId="2CCC5224" w14:textId="1E7575DB" w:rsidR="00B43216" w:rsidRPr="00B43216" w:rsidRDefault="00B43216" w:rsidP="00B43216">
      <w:pPr>
        <w:pStyle w:val="BodyText"/>
      </w:pPr>
      <w:r w:rsidRPr="00B43216">
        <w:t xml:space="preserve">What a year! </w:t>
      </w:r>
    </w:p>
    <w:p w14:paraId="3577EF84" w14:textId="77777777" w:rsidR="00B43216" w:rsidRPr="00B43216" w:rsidRDefault="00B43216" w:rsidP="00B43216">
      <w:pPr>
        <w:pStyle w:val="BodyText"/>
      </w:pPr>
      <w:r w:rsidRPr="00B43216">
        <w:t xml:space="preserve">We had planned for Centenary celebrations, an income uplift in line with the previous year’s phenomenal growth, a rebranded and profitable charity shop presence on the high street, an array of project visits for our supporters, and a calendar full of fundraising marathons, </w:t>
      </w:r>
      <w:proofErr w:type="gramStart"/>
      <w:r w:rsidRPr="00B43216">
        <w:t>swims</w:t>
      </w:r>
      <w:proofErr w:type="gramEnd"/>
      <w:r w:rsidRPr="00B43216">
        <w:t xml:space="preserve"> and galas. </w:t>
      </w:r>
    </w:p>
    <w:p w14:paraId="552C7CE2" w14:textId="77777777" w:rsidR="00B43216" w:rsidRPr="00B43216" w:rsidRDefault="00B43216" w:rsidP="00B43216">
      <w:pPr>
        <w:pStyle w:val="BodyText"/>
      </w:pPr>
      <w:proofErr w:type="gramStart"/>
      <w:r w:rsidRPr="00B43216">
        <w:t>The majority of</w:t>
      </w:r>
      <w:proofErr w:type="gramEnd"/>
      <w:r w:rsidRPr="00B43216">
        <w:t xml:space="preserve"> our projects supporting blind and partially sighted people were due to be face-to-face, the majority of our income dependent on “in person” activity. But in March 2020, on the eve of this exciting new year, COVID-19 arrived. </w:t>
      </w:r>
    </w:p>
    <w:p w14:paraId="26BFD374" w14:textId="77777777" w:rsidR="00B43216" w:rsidRPr="00B43216" w:rsidRDefault="00B43216" w:rsidP="00B43216">
      <w:pPr>
        <w:pStyle w:val="BodyText"/>
      </w:pPr>
      <w:proofErr w:type="gramStart"/>
      <w:r w:rsidRPr="00B43216">
        <w:t>So</w:t>
      </w:r>
      <w:proofErr w:type="gramEnd"/>
      <w:r w:rsidRPr="00B43216">
        <w:t xml:space="preserve"> we evolved. We moved to homeworking, temporarily closed our charity shops, launched a calendar of virtual events, unveiled digital campaigns, redoubled our trust and corporate fundraising, and crucially supported our partner charities to adapt their projects and access emergency funding. </w:t>
      </w:r>
    </w:p>
    <w:p w14:paraId="281FCB74" w14:textId="77777777" w:rsidR="00B43216" w:rsidRPr="00B43216" w:rsidRDefault="00B43216" w:rsidP="00B43216">
      <w:pPr>
        <w:pStyle w:val="BodyText"/>
      </w:pPr>
      <w:r w:rsidRPr="00B43216">
        <w:t xml:space="preserve">Many moved online, others became a true lifeline for their clients – providing food, medical supplies, and vital moments of socially distanced human contact. Throughout, we worked to champion the rights and needs of blind and partially sighted people, so that they were not left even further behind or excluded as society adapted at pace. </w:t>
      </w:r>
    </w:p>
    <w:p w14:paraId="66CCF176" w14:textId="77777777" w:rsidR="00B43216" w:rsidRPr="00B43216" w:rsidRDefault="00B43216" w:rsidP="00B43216">
      <w:pPr>
        <w:pStyle w:val="BodyText"/>
      </w:pPr>
      <w:r w:rsidRPr="00B43216">
        <w:t xml:space="preserve">As we look back on a truly unique year, we are proud of what we were able to achieve, and hopeful for a brighter future for those we serve. Society has shown us that it can adopt new working norms overnight and find new appreciation of the essential part we all play in our communities. So </w:t>
      </w:r>
      <w:proofErr w:type="gramStart"/>
      <w:r w:rsidRPr="00B43216">
        <w:t>surely</w:t>
      </w:r>
      <w:proofErr w:type="gramEnd"/>
      <w:r w:rsidRPr="00B43216">
        <w:t xml:space="preserve"> we are a step closer to a world that celebrates, empowers and includes people with sight loss.</w:t>
      </w:r>
    </w:p>
    <w:p w14:paraId="5F583147" w14:textId="77777777" w:rsidR="00B43216" w:rsidRDefault="00B43216" w:rsidP="00B43216">
      <w:pPr>
        <w:pStyle w:val="BasicParagraph"/>
      </w:pPr>
    </w:p>
    <w:p w14:paraId="556762D5" w14:textId="77777777" w:rsidR="00B43216" w:rsidRDefault="00B43216" w:rsidP="00F64A91">
      <w:pPr>
        <w:pStyle w:val="Heading3"/>
      </w:pPr>
      <w:r>
        <w:t xml:space="preserve">Heather Goodhew </w:t>
      </w:r>
    </w:p>
    <w:p w14:paraId="7A4770BF" w14:textId="77777777" w:rsidR="00B43216" w:rsidRDefault="00B43216" w:rsidP="00B43216">
      <w:pPr>
        <w:pStyle w:val="BasicParagraph"/>
      </w:pPr>
      <w:r>
        <w:t xml:space="preserve">Chair of Trustees   </w:t>
      </w:r>
    </w:p>
    <w:p w14:paraId="1ADF2725" w14:textId="77777777" w:rsidR="00B43216" w:rsidRDefault="00B43216" w:rsidP="00F64A91">
      <w:pPr>
        <w:pStyle w:val="Heading3"/>
      </w:pPr>
    </w:p>
    <w:p w14:paraId="7DED6FE8" w14:textId="77777777" w:rsidR="00B43216" w:rsidRDefault="00B43216" w:rsidP="00F64A91">
      <w:pPr>
        <w:pStyle w:val="Heading3"/>
      </w:pPr>
      <w:r>
        <w:t xml:space="preserve">Olivia Curno </w:t>
      </w:r>
    </w:p>
    <w:p w14:paraId="18EB23B3" w14:textId="77777777" w:rsidR="00B43216" w:rsidRDefault="00B43216" w:rsidP="00B43216">
      <w:pPr>
        <w:pStyle w:val="BasicParagraph"/>
      </w:pPr>
      <w:r>
        <w:t>Chief Executive</w:t>
      </w:r>
    </w:p>
    <w:p w14:paraId="64F8D0C6" w14:textId="06D3F85D" w:rsidR="00A67720" w:rsidRDefault="00A67720">
      <w:pPr>
        <w:widowControl/>
        <w:autoSpaceDE/>
        <w:autoSpaceDN/>
      </w:pPr>
      <w:r>
        <w:br w:type="page"/>
      </w:r>
    </w:p>
    <w:p w14:paraId="72EF909B" w14:textId="24AE4346" w:rsidR="00A67720" w:rsidRPr="00603BEA" w:rsidRDefault="00B43216" w:rsidP="00603BEA">
      <w:pPr>
        <w:pStyle w:val="Heading1"/>
      </w:pPr>
      <w:r w:rsidRPr="00603BEA">
        <w:lastRenderedPageBreak/>
        <w:t>Key Highlights</w:t>
      </w:r>
    </w:p>
    <w:p w14:paraId="4C579EC2" w14:textId="77777777" w:rsidR="00B43216" w:rsidRPr="00A67720" w:rsidRDefault="00B43216" w:rsidP="00A67720"/>
    <w:p w14:paraId="73E43D6A" w14:textId="00358003" w:rsidR="00A67720" w:rsidRPr="00603BEA" w:rsidRDefault="00B43216" w:rsidP="00603BEA">
      <w:pPr>
        <w:pStyle w:val="List"/>
      </w:pPr>
      <w:r w:rsidRPr="00603BEA">
        <w:t>34 live projects reaching 28,331people</w:t>
      </w:r>
    </w:p>
    <w:p w14:paraId="1F7C939C" w14:textId="09379B12" w:rsidR="00B43216" w:rsidRPr="00603BEA" w:rsidRDefault="00B43216" w:rsidP="00603BEA">
      <w:pPr>
        <w:pStyle w:val="List"/>
        <w:numPr>
          <w:ilvl w:val="0"/>
          <w:numId w:val="0"/>
        </w:numPr>
        <w:ind w:left="360"/>
      </w:pPr>
    </w:p>
    <w:p w14:paraId="7626008D" w14:textId="77777777" w:rsidR="00B43216" w:rsidRPr="00603BEA" w:rsidRDefault="00B43216" w:rsidP="00603BEA">
      <w:pPr>
        <w:pStyle w:val="List"/>
      </w:pPr>
      <w:r w:rsidRPr="00603BEA">
        <w:t>New grants in 20/21 totalled £314k, compared to £1.45m in 19/20</w:t>
      </w:r>
    </w:p>
    <w:p w14:paraId="59E8BCCA" w14:textId="77777777" w:rsidR="00B43216" w:rsidRPr="00603BEA" w:rsidRDefault="00B43216" w:rsidP="00603BEA">
      <w:pPr>
        <w:pStyle w:val="List"/>
        <w:numPr>
          <w:ilvl w:val="0"/>
          <w:numId w:val="0"/>
        </w:numPr>
        <w:ind w:left="360"/>
      </w:pPr>
    </w:p>
    <w:p w14:paraId="0437A913" w14:textId="77777777" w:rsidR="00B43216" w:rsidRPr="00603BEA" w:rsidRDefault="00B43216" w:rsidP="00603BEA">
      <w:pPr>
        <w:pStyle w:val="List"/>
      </w:pPr>
      <w:r w:rsidRPr="00603BEA">
        <w:t>20 charities supported through Funder Plus activities</w:t>
      </w:r>
    </w:p>
    <w:p w14:paraId="3AFC7F30" w14:textId="77777777" w:rsidR="00B43216" w:rsidRPr="00603BEA" w:rsidRDefault="00B43216" w:rsidP="00603BEA">
      <w:pPr>
        <w:pStyle w:val="List"/>
        <w:numPr>
          <w:ilvl w:val="0"/>
          <w:numId w:val="0"/>
        </w:numPr>
        <w:ind w:left="360"/>
      </w:pPr>
    </w:p>
    <w:p w14:paraId="22C0D072" w14:textId="77777777" w:rsidR="00B43216" w:rsidRPr="00603BEA" w:rsidRDefault="00B43216" w:rsidP="00603BEA">
      <w:pPr>
        <w:pStyle w:val="List"/>
      </w:pPr>
      <w:r w:rsidRPr="00603BEA">
        <w:t xml:space="preserve">2 research projects supported </w:t>
      </w:r>
    </w:p>
    <w:p w14:paraId="38809C81" w14:textId="77777777" w:rsidR="00B43216" w:rsidRPr="00603BEA" w:rsidRDefault="00B43216" w:rsidP="00603BEA">
      <w:pPr>
        <w:pStyle w:val="List"/>
        <w:numPr>
          <w:ilvl w:val="0"/>
          <w:numId w:val="0"/>
        </w:numPr>
        <w:ind w:left="360"/>
      </w:pPr>
    </w:p>
    <w:p w14:paraId="0352CAC4" w14:textId="690C29DA" w:rsidR="00B43216" w:rsidRPr="00603BEA" w:rsidRDefault="00B43216" w:rsidP="00603BEA">
      <w:pPr>
        <w:pStyle w:val="List"/>
      </w:pPr>
      <w:r w:rsidRPr="00603BEA">
        <w:t>200 articles estimated readership of 2.5 million</w:t>
      </w:r>
    </w:p>
    <w:p w14:paraId="2815F635" w14:textId="77777777" w:rsidR="00B43216" w:rsidRPr="00603BEA" w:rsidRDefault="00B43216" w:rsidP="00603BEA">
      <w:pPr>
        <w:pStyle w:val="List"/>
        <w:numPr>
          <w:ilvl w:val="0"/>
          <w:numId w:val="0"/>
        </w:numPr>
        <w:ind w:left="360"/>
      </w:pPr>
    </w:p>
    <w:p w14:paraId="2E51BAC4" w14:textId="77777777" w:rsidR="00B43216" w:rsidRPr="00603BEA" w:rsidRDefault="00B43216" w:rsidP="00603BEA">
      <w:pPr>
        <w:pStyle w:val="List"/>
      </w:pPr>
      <w:r w:rsidRPr="00603BEA">
        <w:t>Almost 30,000 website visitors</w:t>
      </w:r>
    </w:p>
    <w:p w14:paraId="2D280924" w14:textId="77777777" w:rsidR="00B43216" w:rsidRPr="00603BEA" w:rsidRDefault="00B43216" w:rsidP="00603BEA">
      <w:pPr>
        <w:pStyle w:val="List"/>
        <w:numPr>
          <w:ilvl w:val="0"/>
          <w:numId w:val="0"/>
        </w:numPr>
        <w:ind w:left="360"/>
      </w:pPr>
    </w:p>
    <w:p w14:paraId="2A4531AE" w14:textId="77777777" w:rsidR="00B43216" w:rsidRPr="00603BEA" w:rsidRDefault="00B43216" w:rsidP="00603BEA">
      <w:pPr>
        <w:pStyle w:val="List"/>
      </w:pPr>
      <w:r w:rsidRPr="00603BEA">
        <w:t>4,844 people connected via social media</w:t>
      </w:r>
    </w:p>
    <w:p w14:paraId="0F638A21" w14:textId="77777777" w:rsidR="00B43216" w:rsidRDefault="00B43216" w:rsidP="00B43216">
      <w:pPr>
        <w:widowControl/>
        <w:autoSpaceDE/>
        <w:autoSpaceDN/>
      </w:pPr>
    </w:p>
    <w:p w14:paraId="22D54666" w14:textId="77777777" w:rsidR="00603BEA" w:rsidRPr="00603BEA" w:rsidRDefault="00B43216" w:rsidP="00603BEA">
      <w:pPr>
        <w:widowControl/>
        <w:autoSpaceDE/>
        <w:autoSpaceDN/>
        <w:rPr>
          <w:b/>
          <w:bCs/>
        </w:rPr>
      </w:pPr>
      <w:r w:rsidRPr="00603BEA">
        <w:rPr>
          <w:b/>
          <w:bCs/>
        </w:rPr>
        <w:t xml:space="preserve">Income increases: </w:t>
      </w:r>
    </w:p>
    <w:p w14:paraId="5B72ECAE" w14:textId="51902B2D" w:rsidR="00F67412" w:rsidRPr="00603BEA" w:rsidRDefault="00603BEA" w:rsidP="00603BEA">
      <w:pPr>
        <w:widowControl/>
        <w:autoSpaceDE/>
        <w:autoSpaceDN/>
      </w:pPr>
      <w:r>
        <w:rPr>
          <w:rFonts w:ascii="Times New Roman" w:hAnsi="Times New Roman" w:cs="Times New Roman" w:hint="eastAsia"/>
          <w:lang w:eastAsia="ja-JP"/>
        </w:rPr>
        <w:t>↑</w:t>
      </w:r>
      <w:r w:rsidR="00B43216" w:rsidRPr="00B43216">
        <w:t xml:space="preserve">120% </w:t>
      </w:r>
      <w:r w:rsidR="00B43216">
        <w:t>i</w:t>
      </w:r>
      <w:r w:rsidR="00B43216" w:rsidRPr="00B43216">
        <w:t>ncome from corporat</w:t>
      </w:r>
      <w:r w:rsidR="00B43216">
        <w:t xml:space="preserve">e </w:t>
      </w:r>
      <w:r w:rsidR="00B43216" w:rsidRPr="00B43216">
        <w:t>and trust donations</w:t>
      </w:r>
    </w:p>
    <w:p w14:paraId="14288AFA" w14:textId="77777777" w:rsidR="00F67412" w:rsidRDefault="00F67412" w:rsidP="00F67412">
      <w:pPr>
        <w:pStyle w:val="BasicParagraph"/>
      </w:pPr>
    </w:p>
    <w:p w14:paraId="0AE397E7" w14:textId="77777777" w:rsidR="00F67412" w:rsidRPr="00603BEA" w:rsidRDefault="00F67412" w:rsidP="00F67412">
      <w:pPr>
        <w:pStyle w:val="BasicParagraph"/>
        <w:rPr>
          <w:b/>
          <w:bCs/>
        </w:rPr>
      </w:pPr>
      <w:r w:rsidRPr="00603BEA">
        <w:rPr>
          <w:b/>
          <w:bCs/>
        </w:rPr>
        <w:t>Income decreases:</w:t>
      </w:r>
    </w:p>
    <w:p w14:paraId="6E25B952" w14:textId="0D5638F6" w:rsidR="00F67412" w:rsidRDefault="00603BEA" w:rsidP="00F67412">
      <w:pPr>
        <w:pStyle w:val="BasicParagraph"/>
      </w:pPr>
      <w:r>
        <w:rPr>
          <w:rFonts w:ascii="Times New Roman" w:hAnsi="Times New Roman" w:cs="Times New Roman" w:hint="eastAsia"/>
          <w:lang w:eastAsia="ja-JP"/>
        </w:rPr>
        <w:t>↓</w:t>
      </w:r>
      <w:r>
        <w:t xml:space="preserve"> </w:t>
      </w:r>
      <w:r w:rsidR="00F67412">
        <w:t xml:space="preserve">38% Retail </w:t>
      </w:r>
    </w:p>
    <w:p w14:paraId="52248E0C" w14:textId="77777777" w:rsidR="00603BEA" w:rsidRDefault="00603BEA" w:rsidP="00F67412">
      <w:pPr>
        <w:pStyle w:val="BasicParagraph"/>
      </w:pPr>
      <w:r>
        <w:rPr>
          <w:rFonts w:ascii="Times New Roman" w:hAnsi="Times New Roman" w:cs="Times New Roman" w:hint="eastAsia"/>
          <w:lang w:eastAsia="ja-JP"/>
        </w:rPr>
        <w:t>↓</w:t>
      </w:r>
      <w:r w:rsidR="00F67412">
        <w:t xml:space="preserve">22% Individual giving donations </w:t>
      </w:r>
    </w:p>
    <w:p w14:paraId="0E46A0A6" w14:textId="23E98F20" w:rsidR="00F67412" w:rsidRDefault="00603BEA" w:rsidP="00F67412">
      <w:pPr>
        <w:pStyle w:val="BasicParagraph"/>
      </w:pPr>
      <w:r>
        <w:rPr>
          <w:rFonts w:ascii="Times New Roman" w:hAnsi="Times New Roman" w:cs="Times New Roman" w:hint="eastAsia"/>
          <w:lang w:eastAsia="ja-JP"/>
        </w:rPr>
        <w:t>↓</w:t>
      </w:r>
      <w:r w:rsidR="00F67412">
        <w:t>34% Income from events</w:t>
      </w:r>
    </w:p>
    <w:p w14:paraId="53EE3B53" w14:textId="77777777" w:rsidR="00603BEA" w:rsidRDefault="00603BEA" w:rsidP="00F67412">
      <w:pPr>
        <w:pStyle w:val="BasicParagraph"/>
      </w:pPr>
      <w:r>
        <w:rPr>
          <w:rFonts w:ascii="Times New Roman" w:hAnsi="Times New Roman" w:cs="Times New Roman" w:hint="eastAsia"/>
          <w:lang w:eastAsia="ja-JP"/>
        </w:rPr>
        <w:t>↓</w:t>
      </w:r>
      <w:r w:rsidR="00F67412">
        <w:t>48% Income from legacies</w:t>
      </w:r>
    </w:p>
    <w:p w14:paraId="0471504E" w14:textId="77777777" w:rsidR="00603BEA" w:rsidRDefault="00603BEA" w:rsidP="00F67412">
      <w:pPr>
        <w:pStyle w:val="BasicParagraph"/>
      </w:pPr>
    </w:p>
    <w:p w14:paraId="0A22831A" w14:textId="77777777" w:rsidR="00603BEA" w:rsidRDefault="00603BEA" w:rsidP="00603BEA">
      <w:pPr>
        <w:pStyle w:val="BasicParagraph"/>
      </w:pPr>
      <w:r w:rsidRPr="00F67412">
        <w:t xml:space="preserve">The Covid-19 Pandemic greatly impacted our ability to fundraise, but investments, new income streams and cost control meant that we were pleased to end the year in a strong position overall with just £21,000 </w:t>
      </w:r>
      <w:r w:rsidRPr="00F67412">
        <w:rPr>
          <w:rFonts w:ascii="Times New Roman" w:hAnsi="Times New Roman" w:cs="Times New Roman"/>
        </w:rPr>
        <w:t>​</w:t>
      </w:r>
      <w:r w:rsidRPr="00F67412">
        <w:t>drawn down from our reserves</w:t>
      </w:r>
      <w:r>
        <w:t>.</w:t>
      </w:r>
    </w:p>
    <w:p w14:paraId="3DD16DDE" w14:textId="7566D11E" w:rsidR="00A67720" w:rsidRPr="00F67412" w:rsidRDefault="00A67720" w:rsidP="00F67412">
      <w:pPr>
        <w:pStyle w:val="BasicParagraph"/>
      </w:pPr>
      <w:r>
        <w:br w:type="page"/>
      </w:r>
    </w:p>
    <w:p w14:paraId="33224214" w14:textId="327F1946" w:rsidR="00A67720" w:rsidRPr="00546CE5" w:rsidRDefault="00A67720" w:rsidP="00603BEA">
      <w:pPr>
        <w:pStyle w:val="Heading1"/>
      </w:pPr>
      <w:bookmarkStart w:id="5" w:name="_Toc87614371"/>
      <w:r w:rsidRPr="00546CE5">
        <w:lastRenderedPageBreak/>
        <w:t>Our Objectives, Values and Activities</w:t>
      </w:r>
      <w:bookmarkEnd w:id="5"/>
    </w:p>
    <w:p w14:paraId="444DC0AC" w14:textId="77777777" w:rsidR="00A67720" w:rsidRDefault="00A67720" w:rsidP="00A67720"/>
    <w:p w14:paraId="7C457AF7" w14:textId="76C3EA69" w:rsidR="00A67720" w:rsidRDefault="00A67720" w:rsidP="00806DD4">
      <w:pPr>
        <w:pStyle w:val="BodyText"/>
      </w:pPr>
      <w:r w:rsidRPr="00603BEA">
        <w:rPr>
          <w:b/>
          <w:bCs/>
        </w:rPr>
        <w:t>Our vision</w:t>
      </w:r>
      <w:r>
        <w:t xml:space="preserve"> is a future where people living with sight loss are equal citizens and preventable blindness is a thing of the past.</w:t>
      </w:r>
    </w:p>
    <w:p w14:paraId="4E216FEA" w14:textId="5504C5C4" w:rsidR="00A67720" w:rsidRDefault="00A67720" w:rsidP="00806DD4">
      <w:pPr>
        <w:pStyle w:val="BodyText"/>
      </w:pPr>
      <w:r w:rsidRPr="00603BEA">
        <w:rPr>
          <w:b/>
          <w:bCs/>
        </w:rPr>
        <w:t>Our mission</w:t>
      </w:r>
      <w:r>
        <w:t xml:space="preserve"> is to make London a shining example of a sight loss aware city.</w:t>
      </w:r>
    </w:p>
    <w:p w14:paraId="73CF37C6" w14:textId="77777777" w:rsidR="00A67720" w:rsidRDefault="00A67720" w:rsidP="00806DD4">
      <w:pPr>
        <w:pStyle w:val="BodyText"/>
      </w:pPr>
      <w:r w:rsidRPr="00603BEA">
        <w:rPr>
          <w:b/>
          <w:bCs/>
        </w:rPr>
        <w:t>Our purpose</w:t>
      </w:r>
      <w:r>
        <w:t xml:space="preserve"> is to transform the lives of people facing or living with sight loss by funding projects which inform, </w:t>
      </w:r>
      <w:proofErr w:type="gramStart"/>
      <w:r>
        <w:t>empower</w:t>
      </w:r>
      <w:proofErr w:type="gramEnd"/>
      <w:r>
        <w:t xml:space="preserve"> and include.</w:t>
      </w:r>
    </w:p>
    <w:p w14:paraId="6F9BA9FA" w14:textId="77777777" w:rsidR="00A67720" w:rsidRDefault="00A67720" w:rsidP="00A67720"/>
    <w:p w14:paraId="41D4D02F" w14:textId="77777777" w:rsidR="00A67720" w:rsidRPr="00806DD4" w:rsidRDefault="00A67720" w:rsidP="00F64A91">
      <w:pPr>
        <w:pStyle w:val="Heading2"/>
      </w:pPr>
      <w:bookmarkStart w:id="6" w:name="_Toc87614372"/>
      <w:r w:rsidRPr="00806DD4">
        <w:t xml:space="preserve">How </w:t>
      </w:r>
      <w:proofErr w:type="gramStart"/>
      <w:r w:rsidRPr="00806DD4">
        <w:t>we will</w:t>
      </w:r>
      <w:proofErr w:type="gramEnd"/>
      <w:r w:rsidRPr="00806DD4">
        <w:t xml:space="preserve"> achieve our goals?</w:t>
      </w:r>
      <w:bookmarkEnd w:id="6"/>
    </w:p>
    <w:p w14:paraId="54D75A1B" w14:textId="77777777" w:rsidR="00A67720" w:rsidRDefault="00A67720" w:rsidP="00806DD4">
      <w:pPr>
        <w:pStyle w:val="List"/>
      </w:pPr>
      <w:r>
        <w:t>We will partner with charities working with blind and partially sighted people to improve and extend services and support</w:t>
      </w:r>
    </w:p>
    <w:p w14:paraId="6AA090E9" w14:textId="77777777" w:rsidR="00A67720" w:rsidRDefault="00A67720" w:rsidP="00806DD4">
      <w:pPr>
        <w:pStyle w:val="List"/>
      </w:pPr>
      <w:r>
        <w:t>We will amplify the voices of blind and partially sighted people to inform our own work, and partner with and influence businesses and services to be better placed to tackle their needs</w:t>
      </w:r>
    </w:p>
    <w:p w14:paraId="71592191" w14:textId="79527006" w:rsidR="00A67720" w:rsidRDefault="00A67720" w:rsidP="00806DD4">
      <w:pPr>
        <w:pStyle w:val="List"/>
      </w:pPr>
      <w:r>
        <w:t>We will improve eye health awareness amongst Londoners so they can take action to save their sight.</w:t>
      </w:r>
    </w:p>
    <w:p w14:paraId="0369BD80" w14:textId="77777777" w:rsidR="00A67720" w:rsidRDefault="00A67720" w:rsidP="00A67720"/>
    <w:p w14:paraId="0A979ADD" w14:textId="77777777" w:rsidR="00A67720" w:rsidRPr="00806DD4" w:rsidRDefault="00A67720" w:rsidP="00F64A91">
      <w:pPr>
        <w:pStyle w:val="Heading2"/>
      </w:pPr>
      <w:bookmarkStart w:id="7" w:name="_Toc87614373"/>
      <w:r w:rsidRPr="00806DD4">
        <w:t>Our values</w:t>
      </w:r>
      <w:bookmarkEnd w:id="7"/>
    </w:p>
    <w:p w14:paraId="751CCF12" w14:textId="77777777" w:rsidR="00A67720" w:rsidRPr="00806DD4" w:rsidRDefault="00A67720" w:rsidP="00806DD4">
      <w:pPr>
        <w:pStyle w:val="BodyText"/>
      </w:pPr>
      <w:r w:rsidRPr="00806DD4">
        <w:t>Our values reinforce everything we do. They shape the way we work and the culture we endeavour to instil.</w:t>
      </w:r>
    </w:p>
    <w:p w14:paraId="6D40EDFB" w14:textId="77777777" w:rsidR="00A67720" w:rsidRDefault="00A67720" w:rsidP="00A67720"/>
    <w:p w14:paraId="6EF6AD8B" w14:textId="77777777" w:rsidR="00A67720" w:rsidRPr="00806DD4" w:rsidRDefault="00A67720" w:rsidP="00F64A91">
      <w:pPr>
        <w:pStyle w:val="Heading3"/>
      </w:pPr>
      <w:r w:rsidRPr="00806DD4">
        <w:t>We collaborate</w:t>
      </w:r>
    </w:p>
    <w:p w14:paraId="086C94FA" w14:textId="77777777" w:rsidR="00A67720" w:rsidRPr="00806DD4" w:rsidRDefault="00A67720" w:rsidP="00806DD4">
      <w:pPr>
        <w:pStyle w:val="BodyText"/>
      </w:pPr>
      <w:r w:rsidRPr="00806DD4">
        <w:t xml:space="preserve">The problems we seek to address are complex – no one organisation can do it alone. We wish to learn and share knowledge, combine skillsets and expertise, amplify </w:t>
      </w:r>
      <w:proofErr w:type="gramStart"/>
      <w:r w:rsidRPr="00806DD4">
        <w:t>impact</w:t>
      </w:r>
      <w:proofErr w:type="gramEnd"/>
      <w:r w:rsidRPr="00806DD4">
        <w:t xml:space="preserve"> and enable innovation.</w:t>
      </w:r>
    </w:p>
    <w:p w14:paraId="489BE874" w14:textId="77777777" w:rsidR="00A67720" w:rsidRDefault="00A67720" w:rsidP="00A67720"/>
    <w:p w14:paraId="2031755F" w14:textId="77777777" w:rsidR="00A67720" w:rsidRPr="00806DD4" w:rsidRDefault="00A67720" w:rsidP="00F64A91">
      <w:pPr>
        <w:pStyle w:val="Heading3"/>
      </w:pPr>
      <w:r w:rsidRPr="00806DD4">
        <w:t>We empower</w:t>
      </w:r>
    </w:p>
    <w:p w14:paraId="24707F13" w14:textId="77777777" w:rsidR="00A67720" w:rsidRPr="00806DD4" w:rsidRDefault="00A67720" w:rsidP="00806DD4">
      <w:pPr>
        <w:pStyle w:val="BodyText"/>
      </w:pPr>
      <w:r w:rsidRPr="00806DD4">
        <w:t xml:space="preserve">It is individuals with sight loss who have the insight, </w:t>
      </w:r>
      <w:proofErr w:type="gramStart"/>
      <w:r w:rsidRPr="00806DD4">
        <w:t>skills</w:t>
      </w:r>
      <w:proofErr w:type="gramEnd"/>
      <w:r w:rsidRPr="00806DD4">
        <w:t xml:space="preserve"> and experience to identify the most important issues, influence others, and bring about lasting change.</w:t>
      </w:r>
    </w:p>
    <w:p w14:paraId="0AC7D346" w14:textId="77777777" w:rsidR="00A67720" w:rsidRDefault="00A67720" w:rsidP="00A67720"/>
    <w:p w14:paraId="2F00CFF7" w14:textId="77777777" w:rsidR="00A67720" w:rsidRPr="00806DD4" w:rsidRDefault="00A67720" w:rsidP="00F64A91">
      <w:pPr>
        <w:pStyle w:val="Heading3"/>
      </w:pPr>
      <w:r w:rsidRPr="00806DD4">
        <w:t>We work intelligently</w:t>
      </w:r>
    </w:p>
    <w:p w14:paraId="4D36FEA9" w14:textId="77777777" w:rsidR="00A67720" w:rsidRDefault="00A67720" w:rsidP="00806DD4">
      <w:pPr>
        <w:pStyle w:val="BodyText"/>
      </w:pPr>
      <w:r>
        <w:t>The issue of sight loss spans research, health, stigma, employment, culture, sport, society, transport, safety, economics, equality and more. Without an intelligent, evidence-based approach, our efforts will not be focussed and informed to bring about the greatest impact.</w:t>
      </w:r>
    </w:p>
    <w:p w14:paraId="51D4819E" w14:textId="77777777" w:rsidR="00A67720" w:rsidRDefault="00A67720" w:rsidP="00A67720"/>
    <w:p w14:paraId="607D7DA3" w14:textId="77777777" w:rsidR="00A67720" w:rsidRPr="00806DD4" w:rsidRDefault="00A67720" w:rsidP="00F64A91">
      <w:pPr>
        <w:pStyle w:val="Heading3"/>
      </w:pPr>
      <w:r w:rsidRPr="00806DD4">
        <w:lastRenderedPageBreak/>
        <w:t>We are courageous</w:t>
      </w:r>
    </w:p>
    <w:p w14:paraId="57AEFB6B" w14:textId="575CB07E" w:rsidR="00A67720" w:rsidRDefault="00A67720" w:rsidP="00A67720">
      <w:r>
        <w:t xml:space="preserve">Sight loss is a growing, urgent problem. Every day, people needlessly lose their sight for life. Every day, people unfairly miss out on opportunities. Every day, people face abuse, disregard, isolation, </w:t>
      </w:r>
      <w:proofErr w:type="gramStart"/>
      <w:r>
        <w:t>poverty</w:t>
      </w:r>
      <w:proofErr w:type="gramEnd"/>
      <w:r>
        <w:t xml:space="preserve"> and depression. We must be brave today to bring about a brighter tomorrow.</w:t>
      </w:r>
    </w:p>
    <w:p w14:paraId="19EBB92D" w14:textId="032BC04E" w:rsidR="00A67720" w:rsidRDefault="00A67720">
      <w:pPr>
        <w:widowControl/>
        <w:autoSpaceDE/>
        <w:autoSpaceDN/>
      </w:pPr>
      <w:r>
        <w:br w:type="page"/>
      </w:r>
    </w:p>
    <w:p w14:paraId="14D7F7C0" w14:textId="77777777" w:rsidR="00806DD4" w:rsidRPr="00806DD4" w:rsidRDefault="00806DD4" w:rsidP="00806DD4">
      <w:pPr>
        <w:pStyle w:val="Heading1"/>
      </w:pPr>
      <w:bookmarkStart w:id="8" w:name="_Toc87614374"/>
      <w:r w:rsidRPr="00806DD4">
        <w:lastRenderedPageBreak/>
        <w:t>Our Reach</w:t>
      </w:r>
    </w:p>
    <w:p w14:paraId="3C482DEF" w14:textId="00B43289" w:rsidR="00806DD4" w:rsidRDefault="00806DD4" w:rsidP="00F64A91">
      <w:pPr>
        <w:pStyle w:val="Heading3"/>
      </w:pPr>
      <w:r>
        <w:t>Projects we supported in 2020/21</w:t>
      </w:r>
    </w:p>
    <w:p w14:paraId="01F3CAB5" w14:textId="77777777" w:rsidR="00806DD4" w:rsidRDefault="00806DD4" w:rsidP="00806DD4">
      <w:pPr>
        <w:widowControl/>
        <w:suppressAutoHyphens/>
        <w:adjustRightInd w:val="0"/>
        <w:spacing w:after="20" w:line="280" w:lineRule="atLeast"/>
        <w:textAlignment w:val="center"/>
        <w:rPr>
          <w:rFonts w:eastAsia="MS Mincho" w:cs="FS Albert"/>
          <w:color w:val="11100D"/>
          <w:szCs w:val="24"/>
        </w:rPr>
      </w:pPr>
    </w:p>
    <w:p w14:paraId="4C39D61B" w14:textId="392600A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Afghanistan and Central Asian Association (ACAA) </w:t>
      </w:r>
    </w:p>
    <w:p w14:paraId="61D7B0C2"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Baluji Music Foundation </w:t>
      </w:r>
    </w:p>
    <w:p w14:paraId="2AA4F259"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proofErr w:type="spellStart"/>
      <w:r w:rsidRPr="00806DD4">
        <w:rPr>
          <w:rFonts w:eastAsia="MS Mincho" w:cs="FS Albert"/>
          <w:color w:val="11100D"/>
          <w:szCs w:val="24"/>
        </w:rPr>
        <w:t>BlindAid</w:t>
      </w:r>
      <w:proofErr w:type="spellEnd"/>
    </w:p>
    <w:p w14:paraId="14F1FB14"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Blind in Business </w:t>
      </w:r>
    </w:p>
    <w:p w14:paraId="2239F154"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Blind Veterans UK </w:t>
      </w:r>
    </w:p>
    <w:p w14:paraId="23EBECCC"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Bromley District Talking News </w:t>
      </w:r>
    </w:p>
    <w:p w14:paraId="2CE81A50"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Community Enterprise East London </w:t>
      </w:r>
    </w:p>
    <w:p w14:paraId="5F463E7C"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Croydon Voluntary Association for the Blind </w:t>
      </w:r>
    </w:p>
    <w:p w14:paraId="24D80991"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Disability Advice Service Lambeth </w:t>
      </w:r>
    </w:p>
    <w:p w14:paraId="0EF3D672"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Extant </w:t>
      </w:r>
    </w:p>
    <w:p w14:paraId="3B7693EE"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Eye Heroes </w:t>
      </w:r>
    </w:p>
    <w:p w14:paraId="4F15D3FF"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Kent Association for the Blind </w:t>
      </w:r>
    </w:p>
    <w:p w14:paraId="1372C2DE"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Kingston Association for the Blind </w:t>
      </w:r>
    </w:p>
    <w:p w14:paraId="34AA8156"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London Vision </w:t>
      </w:r>
    </w:p>
    <w:p w14:paraId="0C308D0C"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Look UK </w:t>
      </w:r>
    </w:p>
    <w:p w14:paraId="3D9FBFCE"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Lunch Club </w:t>
      </w:r>
      <w:proofErr w:type="gramStart"/>
      <w:r w:rsidRPr="00806DD4">
        <w:rPr>
          <w:rFonts w:eastAsia="MS Mincho" w:cs="FS Albert"/>
          <w:color w:val="11100D"/>
          <w:szCs w:val="24"/>
        </w:rPr>
        <w:t>For</w:t>
      </w:r>
      <w:proofErr w:type="gramEnd"/>
      <w:r w:rsidRPr="00806DD4">
        <w:rPr>
          <w:rFonts w:eastAsia="MS Mincho" w:cs="FS Albert"/>
          <w:color w:val="11100D"/>
          <w:szCs w:val="24"/>
        </w:rPr>
        <w:t xml:space="preserve"> The Blind</w:t>
      </w:r>
    </w:p>
    <w:p w14:paraId="348E0F63"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Macular Society </w:t>
      </w:r>
    </w:p>
    <w:p w14:paraId="48F122BB"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Merton Vision </w:t>
      </w:r>
    </w:p>
    <w:p w14:paraId="65CE2AA3"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Metro Blind Sport </w:t>
      </w:r>
    </w:p>
    <w:p w14:paraId="31468CBA"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Middlesex Association for the Blind </w:t>
      </w:r>
    </w:p>
    <w:p w14:paraId="7A91896B"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Mixed Martial Arts for Reform and Progression </w:t>
      </w:r>
    </w:p>
    <w:p w14:paraId="3C51C382"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Queens Crescent Community Association </w:t>
      </w:r>
    </w:p>
    <w:p w14:paraId="27C632F6"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RNIB </w:t>
      </w:r>
    </w:p>
    <w:p w14:paraId="799DCDF2"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proofErr w:type="spellStart"/>
      <w:r w:rsidRPr="00806DD4">
        <w:rPr>
          <w:rFonts w:eastAsia="MS Mincho" w:cs="FS Albert"/>
          <w:color w:val="11100D"/>
          <w:szCs w:val="24"/>
        </w:rPr>
        <w:t>Seeability</w:t>
      </w:r>
      <w:proofErr w:type="spellEnd"/>
      <w:r w:rsidRPr="00806DD4">
        <w:rPr>
          <w:rFonts w:eastAsia="MS Mincho" w:cs="FS Albert"/>
          <w:color w:val="11100D"/>
          <w:szCs w:val="24"/>
        </w:rPr>
        <w:t xml:space="preserve"> </w:t>
      </w:r>
    </w:p>
    <w:p w14:paraId="35F2C12A"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Sense</w:t>
      </w:r>
    </w:p>
    <w:p w14:paraId="3CE932AA"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Sight for Surrey </w:t>
      </w:r>
    </w:p>
    <w:p w14:paraId="59496565"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Sutton Vision </w:t>
      </w:r>
    </w:p>
    <w:p w14:paraId="6FC3B206" w14:textId="77777777" w:rsidR="00806DD4" w:rsidRPr="00806DD4" w:rsidRDefault="00806DD4" w:rsidP="00806DD4">
      <w:pPr>
        <w:widowControl/>
        <w:suppressAutoHyphens/>
        <w:adjustRightInd w:val="0"/>
        <w:spacing w:after="20" w:line="280" w:lineRule="atLeast"/>
        <w:textAlignment w:val="center"/>
        <w:rPr>
          <w:rFonts w:eastAsia="MS Mincho" w:cs="FS Albert"/>
          <w:color w:val="11100D"/>
          <w:szCs w:val="24"/>
        </w:rPr>
      </w:pPr>
      <w:r w:rsidRPr="00806DD4">
        <w:rPr>
          <w:rFonts w:eastAsia="MS Mincho" w:cs="FS Albert"/>
          <w:color w:val="11100D"/>
          <w:szCs w:val="24"/>
        </w:rPr>
        <w:t xml:space="preserve">The Amber Trust </w:t>
      </w:r>
    </w:p>
    <w:p w14:paraId="7DBD68AB" w14:textId="41918452" w:rsidR="00806DD4" w:rsidRDefault="00806DD4" w:rsidP="00806DD4">
      <w:pPr>
        <w:widowControl/>
        <w:autoSpaceDE/>
        <w:autoSpaceDN/>
        <w:rPr>
          <w:rFonts w:eastAsiaTheme="majorEastAsia" w:cstheme="majorBidi"/>
          <w:b/>
          <w:bCs/>
          <w:iCs/>
          <w:color w:val="4565AE"/>
          <w:sz w:val="40"/>
          <w:szCs w:val="32"/>
        </w:rPr>
      </w:pPr>
      <w:r w:rsidRPr="00806DD4">
        <w:rPr>
          <w:rFonts w:eastAsia="MS Mincho" w:cs="FS Albert"/>
          <w:color w:val="11100D"/>
          <w:szCs w:val="24"/>
        </w:rPr>
        <w:t>The Change Foundation</w:t>
      </w:r>
      <w:r>
        <w:br w:type="page"/>
      </w:r>
    </w:p>
    <w:p w14:paraId="407D125B" w14:textId="4ABD1A22" w:rsidR="00A67720" w:rsidRPr="00806DD4" w:rsidRDefault="00A67720" w:rsidP="00806DD4">
      <w:pPr>
        <w:pStyle w:val="Heading1"/>
      </w:pPr>
      <w:r w:rsidRPr="00806DD4">
        <w:lastRenderedPageBreak/>
        <w:t xml:space="preserve">Our </w:t>
      </w:r>
      <w:r w:rsidR="00806DD4" w:rsidRPr="00806DD4">
        <w:t>I</w:t>
      </w:r>
      <w:r w:rsidRPr="00806DD4">
        <w:t>mpact</w:t>
      </w:r>
      <w:bookmarkEnd w:id="8"/>
    </w:p>
    <w:p w14:paraId="244F75A7" w14:textId="77777777" w:rsidR="00A67720" w:rsidRDefault="00A67720" w:rsidP="00F64A91">
      <w:pPr>
        <w:pStyle w:val="Heading3"/>
      </w:pPr>
    </w:p>
    <w:p w14:paraId="6ECAA055" w14:textId="77777777" w:rsidR="00806DD4" w:rsidRPr="00806DD4" w:rsidRDefault="00806DD4" w:rsidP="00F64A91">
      <w:pPr>
        <w:pStyle w:val="Heading2"/>
      </w:pPr>
      <w:r w:rsidRPr="00806DD4">
        <w:t>Funded projects</w:t>
      </w:r>
    </w:p>
    <w:p w14:paraId="6E75BE5C" w14:textId="77777777" w:rsidR="00806DD4" w:rsidRDefault="00806DD4" w:rsidP="00806DD4">
      <w:pPr>
        <w:pStyle w:val="BodyText"/>
      </w:pPr>
      <w:r>
        <w:t xml:space="preserve">Despite the backdrop of a challenging year, this remains a very exciting time for the Vision Foundation. </w:t>
      </w:r>
    </w:p>
    <w:p w14:paraId="3614B566" w14:textId="77777777" w:rsidR="00806DD4" w:rsidRDefault="00806DD4" w:rsidP="00806DD4">
      <w:pPr>
        <w:pStyle w:val="BodyText"/>
      </w:pPr>
      <w:r>
        <w:t xml:space="preserve">We have just finished the second year of our five-year strategic plan and are on track to meet or exceed our key objectives. We are funding 34 active grants across 29 charities (supporting an estimated 28,331 people directly) based solely on their potential for impact in line with our strategic aims. </w:t>
      </w:r>
    </w:p>
    <w:p w14:paraId="537FEC23" w14:textId="77777777" w:rsidR="00806DD4" w:rsidRDefault="00806DD4" w:rsidP="00806DD4">
      <w:pPr>
        <w:pStyle w:val="BodyText"/>
      </w:pPr>
    </w:p>
    <w:p w14:paraId="6D92CBA3" w14:textId="77777777" w:rsidR="00806DD4" w:rsidRPr="00806DD4" w:rsidRDefault="00806DD4" w:rsidP="00F64A91">
      <w:pPr>
        <w:pStyle w:val="Heading2"/>
      </w:pPr>
      <w:r w:rsidRPr="00806DD4">
        <w:t>Opening London up</w:t>
      </w:r>
    </w:p>
    <w:p w14:paraId="339B0CA6" w14:textId="77777777" w:rsidR="00806DD4" w:rsidRDefault="00806DD4" w:rsidP="00806DD4">
      <w:pPr>
        <w:pStyle w:val="BodyText"/>
      </w:pPr>
      <w:r>
        <w:t xml:space="preserve">Everyone living, </w:t>
      </w:r>
      <w:proofErr w:type="gramStart"/>
      <w:r>
        <w:t>working</w:t>
      </w:r>
      <w:proofErr w:type="gramEnd"/>
      <w:r>
        <w:t xml:space="preserve"> or visiting London should have access to the rich cultural, economic and social opportunities of our city. </w:t>
      </w:r>
      <w:proofErr w:type="gramStart"/>
      <w:r>
        <w:t>In reality, only</w:t>
      </w:r>
      <w:proofErr w:type="gramEnd"/>
      <w:r>
        <w:t xml:space="preserve"> a quarter of blind and partially sighted working-age Londoners are working. Alongside poor employment, blind and partially sighted people tell us that they face barriers in taking part in physical activity, navigating city </w:t>
      </w:r>
      <w:proofErr w:type="gramStart"/>
      <w:r>
        <w:t>streets</w:t>
      </w:r>
      <w:proofErr w:type="gramEnd"/>
      <w:r>
        <w:t xml:space="preserve"> and engaging in social activities – many things sighted people might take for granted.</w:t>
      </w:r>
    </w:p>
    <w:p w14:paraId="5E410D73" w14:textId="77777777" w:rsidR="00806DD4" w:rsidRDefault="00806DD4" w:rsidP="00806DD4">
      <w:pPr>
        <w:pStyle w:val="BodyText"/>
      </w:pPr>
      <w:r>
        <w:t>We’re funding 13 organisations which educate and influence employers, empower individuals, ensure sports, arts, social and cultural spaces are accessible and work to improve public transport and public safety. The organisations support a range of age groups from music workshops and accessing theatres to providing one-to-one assistive tech training for older people.</w:t>
      </w:r>
    </w:p>
    <w:p w14:paraId="00ADEA1F" w14:textId="77777777" w:rsidR="00806DD4" w:rsidRDefault="00806DD4" w:rsidP="00806DD4">
      <w:pPr>
        <w:pStyle w:val="BodyText"/>
      </w:pPr>
    </w:p>
    <w:p w14:paraId="2AFB459C" w14:textId="77777777" w:rsidR="00806DD4" w:rsidRPr="00806DD4" w:rsidRDefault="00806DD4" w:rsidP="00F64A91">
      <w:pPr>
        <w:pStyle w:val="Heading2"/>
      </w:pPr>
      <w:r w:rsidRPr="00806DD4">
        <w:t>Empowering those at risk</w:t>
      </w:r>
    </w:p>
    <w:p w14:paraId="04AA3ACF" w14:textId="77777777" w:rsidR="00806DD4" w:rsidRDefault="00806DD4" w:rsidP="00806DD4">
      <w:pPr>
        <w:pStyle w:val="BodyText"/>
      </w:pPr>
      <w:r>
        <w:t xml:space="preserve">Within the visually impaired community, there are certain groups who can face a “double disadvantage” or “intersectional discrimination”. </w:t>
      </w:r>
    </w:p>
    <w:p w14:paraId="119EBA9B" w14:textId="77777777" w:rsidR="00806DD4" w:rsidRDefault="00806DD4" w:rsidP="00806DD4">
      <w:pPr>
        <w:pStyle w:val="BodyText"/>
      </w:pPr>
      <w:r>
        <w:t xml:space="preserve">When facing sight loss, those from </w:t>
      </w:r>
      <w:proofErr w:type="spellStart"/>
      <w:r>
        <w:t>minoritised</w:t>
      </w:r>
      <w:proofErr w:type="spellEnd"/>
      <w:r>
        <w:t xml:space="preserve"> communities, older people, women, those living on a low income and those with other disabilities are at risk of experiencing poorer outcomes. </w:t>
      </w:r>
    </w:p>
    <w:p w14:paraId="1936AE29" w14:textId="77777777" w:rsidR="00806DD4" w:rsidRDefault="00806DD4" w:rsidP="00806DD4">
      <w:pPr>
        <w:pStyle w:val="BodyText"/>
      </w:pPr>
      <w:r>
        <w:t xml:space="preserve">In addition, there are some consequences of sight loss that are not supported well or at all, such as the heightened risk of domestic violence, </w:t>
      </w:r>
      <w:proofErr w:type="gramStart"/>
      <w:r>
        <w:t>poverty</w:t>
      </w:r>
      <w:proofErr w:type="gramEnd"/>
      <w:r>
        <w:t xml:space="preserve"> or poor mental health.</w:t>
      </w:r>
    </w:p>
    <w:p w14:paraId="61C4257C" w14:textId="77777777" w:rsidR="00806DD4" w:rsidRDefault="00806DD4" w:rsidP="00806DD4">
      <w:pPr>
        <w:pStyle w:val="BodyText"/>
      </w:pPr>
      <w:r>
        <w:t>We’re funding seven organisations that identify and advocate with those particularly marginalised, and at the moments when people face the greatest risk of spiralling outcomes. We also want to ensure that specialist services are fully accessible and reach blind and partially sighted people.</w:t>
      </w:r>
    </w:p>
    <w:p w14:paraId="3CDEEC49" w14:textId="77777777" w:rsidR="00806DD4" w:rsidRDefault="00806DD4" w:rsidP="00806DD4">
      <w:pPr>
        <w:pStyle w:val="BodyText"/>
      </w:pPr>
      <w:r>
        <w:t xml:space="preserve">The current active projects support a variety of areas from independent living of blind veterans to talking newspapers and a dance project supporting Asian visually impaired young people and adults. </w:t>
      </w:r>
    </w:p>
    <w:p w14:paraId="4F1B93C5" w14:textId="77777777" w:rsidR="00806DD4" w:rsidRDefault="00806DD4" w:rsidP="00806DD4">
      <w:pPr>
        <w:pStyle w:val="BodyText"/>
      </w:pPr>
    </w:p>
    <w:p w14:paraId="7000D1F1" w14:textId="77777777" w:rsidR="00806DD4" w:rsidRDefault="00806DD4" w:rsidP="00F64A91">
      <w:pPr>
        <w:pStyle w:val="Heading2"/>
      </w:pPr>
      <w:r>
        <w:lastRenderedPageBreak/>
        <w:t xml:space="preserve">Preventing avoidable blindness </w:t>
      </w:r>
    </w:p>
    <w:p w14:paraId="6A830189" w14:textId="77777777" w:rsidR="00806DD4" w:rsidRDefault="00806DD4" w:rsidP="00806DD4">
      <w:pPr>
        <w:pStyle w:val="BodyText"/>
      </w:pPr>
      <w:r>
        <w:t xml:space="preserve">200,000 people are living with sight loss in the capital and just under 700,000 (1 in 12 adults) are living with a sight-threatening condition. </w:t>
      </w:r>
    </w:p>
    <w:p w14:paraId="3EDECFB1" w14:textId="77777777" w:rsidR="00806DD4" w:rsidRDefault="00806DD4" w:rsidP="00806DD4">
      <w:pPr>
        <w:pStyle w:val="BodyText"/>
      </w:pPr>
      <w:r>
        <w:t>Unless there are bold interventions, these figures are set to increase significantly by 2030. An estimated 50% of sight loss is avoidable, but not currently avoided. Public awareness and a stretched NHS are major contributors to these poor outcomes. The NHS recommends an eye test every two years, but over a third of people are put off eye tests due to concerns about cost, and two in three parents have never taken their child for a test.</w:t>
      </w:r>
    </w:p>
    <w:p w14:paraId="1F4B212E" w14:textId="3B9E8030" w:rsidR="00A67720" w:rsidRDefault="00806DD4" w:rsidP="00806DD4">
      <w:pPr>
        <w:pStyle w:val="BodyText"/>
      </w:pPr>
      <w:r>
        <w:t>We’re funding four projects which raise public awareness about the importance of sight tests and improve access to sight tests including adapted tests and community-based testing. The projects range from educating more at-risk groups about diabetes and pre-disposition to certain eye conditions to community-based groups offering free eye tests.</w:t>
      </w:r>
    </w:p>
    <w:p w14:paraId="4AA8922B" w14:textId="3FFC6891" w:rsidR="00806DD4" w:rsidRDefault="00806DD4" w:rsidP="00806DD4">
      <w:pPr>
        <w:pStyle w:val="BodyText"/>
      </w:pPr>
    </w:p>
    <w:p w14:paraId="4C081DEA" w14:textId="77777777" w:rsidR="00806DD4" w:rsidRPr="00F64A91" w:rsidRDefault="00806DD4" w:rsidP="00F64A91">
      <w:pPr>
        <w:pStyle w:val="Heading2"/>
      </w:pPr>
      <w:r w:rsidRPr="00F64A91">
        <w:t>Covid response</w:t>
      </w:r>
    </w:p>
    <w:p w14:paraId="6E706BAD" w14:textId="77777777" w:rsidR="00806DD4" w:rsidRDefault="00806DD4" w:rsidP="00806DD4">
      <w:pPr>
        <w:pStyle w:val="BodyText"/>
      </w:pPr>
      <w:r>
        <w:t xml:space="preserve">The coronavirus pandemic had a significant effect on our income in 2020/21, and consequently the number and size of grants that we were able to make. However, we were very pleased to be an early partner and contributor to the London Community Response Fund to ensure that blind and partially sighted people were supported during this crisis. </w:t>
      </w:r>
    </w:p>
    <w:p w14:paraId="69DFCB99" w14:textId="77777777" w:rsidR="00806DD4" w:rsidRDefault="00806DD4" w:rsidP="00806DD4">
      <w:pPr>
        <w:pStyle w:val="BodyText"/>
      </w:pPr>
      <w:r>
        <w:t xml:space="preserve">We are proud to have collaborated with London Funders and more than 60 organisations on this response fund through the provision of expert advice and the commitment of funding. Our grants tackled isolation and the rise of unemployment caused by the pandemic. Being a part of the London Community Response Fund also allowed our grantees from both 2019/20 and 2020/21 to delay or adapt their projects in response to the pandemic. </w:t>
      </w:r>
    </w:p>
    <w:p w14:paraId="4992A13F" w14:textId="77777777" w:rsidR="00806DD4" w:rsidRDefault="00806DD4" w:rsidP="00806DD4">
      <w:pPr>
        <w:pStyle w:val="BodyText"/>
      </w:pPr>
      <w:r>
        <w:t xml:space="preserve">Now, thankfully, on surer footing, </w:t>
      </w:r>
      <w:proofErr w:type="gramStart"/>
      <w:r>
        <w:t>a number of</w:t>
      </w:r>
      <w:proofErr w:type="gramEnd"/>
      <w:r>
        <w:t xml:space="preserve"> our partners have fed back that without our support, they would not have survived the pandemic.</w:t>
      </w:r>
    </w:p>
    <w:p w14:paraId="1940C09C" w14:textId="77777777" w:rsidR="00806DD4" w:rsidRDefault="00806DD4" w:rsidP="00806DD4">
      <w:pPr>
        <w:pStyle w:val="BodyText"/>
      </w:pPr>
    </w:p>
    <w:p w14:paraId="76FFD9D5" w14:textId="4CC6747B" w:rsidR="0097435C" w:rsidRDefault="00806DD4" w:rsidP="00F64A91">
      <w:pPr>
        <w:pStyle w:val="Heading2"/>
      </w:pPr>
      <w:r w:rsidRPr="0097435C">
        <w:t xml:space="preserve">Research </w:t>
      </w:r>
    </w:p>
    <w:p w14:paraId="36CA644D" w14:textId="251D7AE1" w:rsidR="00806DD4" w:rsidRPr="0097435C" w:rsidRDefault="00806DD4" w:rsidP="00F64A91">
      <w:pPr>
        <w:pStyle w:val="Heading3"/>
      </w:pPr>
      <w:r w:rsidRPr="0097435C">
        <w:t xml:space="preserve">#BlindLockdownLife </w:t>
      </w:r>
    </w:p>
    <w:p w14:paraId="0D76AEF9" w14:textId="77777777" w:rsidR="00806DD4" w:rsidRDefault="00806DD4" w:rsidP="00806DD4">
      <w:pPr>
        <w:pStyle w:val="BodyText"/>
      </w:pPr>
      <w:r>
        <w:t>As London went into lockdown, we launched a research project to ensure we targeted our work appropriately to support London’s sight loss communities. Between 30 March and 12 April 2020, just one week into the UK Government lockdown, we contacted 19 organisations that provide support to blind and partially sighted people in London and carried out 10 in-depth interviews with visually impaired people aged between 25 and 80. The briefing paper we produced brought together the experiences of those individuals and documented how the sight loss sector was adapting its work to support the visually impaired community. We publicised this research through our digital #BlindLockdownLife campaign.</w:t>
      </w:r>
    </w:p>
    <w:p w14:paraId="1D23477F" w14:textId="77777777" w:rsidR="00806DD4" w:rsidRDefault="00806DD4" w:rsidP="00806DD4">
      <w:pPr>
        <w:pStyle w:val="BodyText"/>
      </w:pPr>
      <w:r>
        <w:t>The campaign used personal testimonies and powerful, emotional videos to illustrate the practical day-to-day experiences of blind and partially sighted people and was shortlisted as a finalist for the 2020 Third Sector Awards.</w:t>
      </w:r>
    </w:p>
    <w:p w14:paraId="2C04293D" w14:textId="6C7B5D5D" w:rsidR="00F64A91" w:rsidRDefault="00806DD4" w:rsidP="00F64A91">
      <w:pPr>
        <w:pStyle w:val="BodyText"/>
      </w:pPr>
      <w:r>
        <w:lastRenderedPageBreak/>
        <w:t xml:space="preserve"> With celebrity endorsements from Philip Schofield, Matthew Wright and Stephen Fry we saw significant engagement across social and mainstream media. The social media campaign was shortlisted as a finalist for the Third Sector Excellence Award under the Breakthrough of the Year category.</w:t>
      </w:r>
    </w:p>
    <w:p w14:paraId="3611CA1F" w14:textId="09B43B06" w:rsidR="00806DD4" w:rsidRPr="0097435C" w:rsidRDefault="00806DD4" w:rsidP="00F64A91">
      <w:pPr>
        <w:pStyle w:val="Heading3"/>
      </w:pPr>
      <w:r w:rsidRPr="0097435C">
        <w:t xml:space="preserve">See My Skills </w:t>
      </w:r>
    </w:p>
    <w:p w14:paraId="6383C959" w14:textId="77777777" w:rsidR="00806DD4" w:rsidRDefault="00806DD4" w:rsidP="00806DD4">
      <w:pPr>
        <w:pStyle w:val="BodyText"/>
      </w:pPr>
      <w:r>
        <w:t>In February 2021, we commissioned important employment research from the University of Birmingham to guide our work in improving the employment outcomes of blind and partially sighted people. This research was published in July 2021 to raise awareness, influence policy, and drive our own funding priorities.</w:t>
      </w:r>
    </w:p>
    <w:p w14:paraId="51D03D1D" w14:textId="77777777" w:rsidR="00806DD4" w:rsidRDefault="00806DD4" w:rsidP="00806DD4">
      <w:pPr>
        <w:pStyle w:val="BodyText"/>
      </w:pPr>
    </w:p>
    <w:p w14:paraId="3CC55CF3" w14:textId="77777777" w:rsidR="00806DD4" w:rsidRPr="00F64A91" w:rsidRDefault="00806DD4" w:rsidP="00F64A91">
      <w:pPr>
        <w:pStyle w:val="Heading2"/>
      </w:pPr>
      <w:r w:rsidRPr="00F64A91">
        <w:t xml:space="preserve">Public perception </w:t>
      </w:r>
    </w:p>
    <w:p w14:paraId="7432B49D" w14:textId="36AED703" w:rsidR="0097435C" w:rsidRDefault="00806DD4" w:rsidP="00806DD4">
      <w:pPr>
        <w:pStyle w:val="BodyText"/>
      </w:pPr>
      <w:r>
        <w:t xml:space="preserve">Throughout the year, we run events to engage people in our work and to support the wider sight loss sector by sharing best practice and knowledge. We aim to raise awareness of the issues surrounding sight loss through engaging and informative events with high profile speakers. Despite the pandemic we were able to run three virtual events which emphasised what people can do rather than what they can’t. </w:t>
      </w:r>
    </w:p>
    <w:p w14:paraId="59A5DAF4" w14:textId="77777777" w:rsidR="00806DD4" w:rsidRDefault="00806DD4" w:rsidP="00F64A91">
      <w:pPr>
        <w:pStyle w:val="Heading3"/>
      </w:pPr>
      <w:r>
        <w:t xml:space="preserve">Sculpting royalty </w:t>
      </w:r>
    </w:p>
    <w:p w14:paraId="575C5DB2" w14:textId="5054C740" w:rsidR="00806DD4" w:rsidRDefault="00806DD4" w:rsidP="00806DD4">
      <w:pPr>
        <w:pStyle w:val="BodyText"/>
      </w:pPr>
      <w:r>
        <w:t xml:space="preserve">In September 2020, our Royal Patron HRH The Countess of Wessex sat for a sculpture designed for blind and partially sighted people as part of a special event for the Vision Foundation. The </w:t>
      </w:r>
      <w:proofErr w:type="gramStart"/>
      <w:r>
        <w:t>Countess</w:t>
      </w:r>
      <w:proofErr w:type="gramEnd"/>
      <w:r>
        <w:t xml:space="preserve"> joined sculptor Frances </w:t>
      </w:r>
      <w:proofErr w:type="spellStart"/>
      <w:r>
        <w:t>Segelman</w:t>
      </w:r>
      <w:proofErr w:type="spellEnd"/>
      <w:r>
        <w:t xml:space="preserve"> (Lady Petchey) at her London studio for the unique socially distanced sculpting, which was live streamed to Vision Foundation supporters and guests. </w:t>
      </w:r>
    </w:p>
    <w:p w14:paraId="720C5B2E" w14:textId="53B9995E" w:rsidR="0097435C" w:rsidRDefault="00806DD4" w:rsidP="00806DD4">
      <w:pPr>
        <w:pStyle w:val="BodyText"/>
      </w:pPr>
      <w:r>
        <w:t xml:space="preserve">To the many people with a visual impairment supported by the Vision Foundation, The Countess of Wessex, the charity’s Patron of 17 years, is just a voice. But with this accessible piece of art, they will be able to know the likeness of Her Royal Highness’ face through touch and feel. </w:t>
      </w:r>
    </w:p>
    <w:p w14:paraId="02DE2A68" w14:textId="77777777" w:rsidR="00806DD4" w:rsidRPr="0097435C" w:rsidRDefault="00806DD4" w:rsidP="00F64A91">
      <w:pPr>
        <w:pStyle w:val="Heading3"/>
      </w:pPr>
      <w:r w:rsidRPr="0097435C">
        <w:t xml:space="preserve">In conversation with Lord David Blunkett </w:t>
      </w:r>
    </w:p>
    <w:p w14:paraId="5B34E82D" w14:textId="123D8A3C" w:rsidR="0097435C" w:rsidRDefault="00806DD4" w:rsidP="00806DD4">
      <w:pPr>
        <w:pStyle w:val="BodyText"/>
      </w:pPr>
      <w:r>
        <w:t xml:space="preserve">In November 2020, we held our first “in conversation” event, a virtual discussion with our newest Vice President, Lord David Blunkett. The event was crafted to myth-bust around what is possible for blind and partially sighted professionals and was also an opportunity to look back on an inspiring career. </w:t>
      </w:r>
    </w:p>
    <w:p w14:paraId="450E38D8" w14:textId="77777777" w:rsidR="00806DD4" w:rsidRDefault="00806DD4" w:rsidP="00F64A91">
      <w:pPr>
        <w:pStyle w:val="Heading3"/>
      </w:pPr>
      <w:r>
        <w:t xml:space="preserve">Sight loss in the Spotlight: Taking Centre Stage:  </w:t>
      </w:r>
    </w:p>
    <w:p w14:paraId="4DA7A330" w14:textId="77777777" w:rsidR="00806DD4" w:rsidRDefault="00806DD4" w:rsidP="00806DD4">
      <w:pPr>
        <w:pStyle w:val="BodyText"/>
      </w:pPr>
      <w:r>
        <w:t xml:space="preserve">In February 2021, to publicly launch our Centenary Appeal, we held a virtual event – Sight Loss in the Spotlight: Taking Centre Stage. Hosted by Stephen Fry, and with participation from Dame Judi Dench, Hayley Mills and Juliet Mills, the event explored the life and career of our late President, Sir John Mills, who continued in his successful acting career throughout his devastating sight loss. </w:t>
      </w:r>
    </w:p>
    <w:p w14:paraId="47306A59" w14:textId="77777777" w:rsidR="00806DD4" w:rsidRDefault="00806DD4" w:rsidP="00806DD4">
      <w:pPr>
        <w:pStyle w:val="BodyText"/>
      </w:pPr>
      <w:r>
        <w:t xml:space="preserve">Our guests shared stories of working with Sir John, and Dame Judi reflected on her own sight loss and how it has impacted her work as an actor. The celebrities met a young visually </w:t>
      </w:r>
      <w:r>
        <w:lastRenderedPageBreak/>
        <w:t xml:space="preserve">impaired actress, Eleanor Stollery, who has already achieved great success as a stage and voice actor aged just 9-years-old. </w:t>
      </w:r>
    </w:p>
    <w:p w14:paraId="276CB83E" w14:textId="17BBFBB0" w:rsidR="00806DD4" w:rsidRDefault="00806DD4" w:rsidP="00806DD4">
      <w:pPr>
        <w:pStyle w:val="BodyText"/>
      </w:pPr>
      <w:r>
        <w:t>Overall, the event attracted over 1,000 online guests, was tweeted to over 12 million followers, and the 46 pieces of media coverage received enjoyed 10.1k social media shares and estimated coverage views of 2.5 million.</w:t>
      </w:r>
    </w:p>
    <w:p w14:paraId="21B353A6" w14:textId="77777777" w:rsidR="0097435C" w:rsidRDefault="0097435C" w:rsidP="00806DD4">
      <w:pPr>
        <w:pStyle w:val="BodyText"/>
      </w:pPr>
    </w:p>
    <w:p w14:paraId="2A2A8BFA" w14:textId="5DECE687" w:rsidR="0097435C" w:rsidRDefault="00806DD4" w:rsidP="00F64A91">
      <w:pPr>
        <w:pStyle w:val="Heading2"/>
      </w:pPr>
      <w:r>
        <w:t xml:space="preserve">Capacity building </w:t>
      </w:r>
    </w:p>
    <w:p w14:paraId="55F516F4" w14:textId="3D48CF83" w:rsidR="0097435C" w:rsidRDefault="00806DD4" w:rsidP="00806DD4">
      <w:pPr>
        <w:pStyle w:val="BodyText"/>
      </w:pPr>
      <w:r>
        <w:t xml:space="preserve">We further developed our Funder Plus offering so that we can be as impactful as possible with the resources available to us, two sessions were delivered in 2020/21 to 20 charities. The Funder Plus programme is based on consultations with grantees and former members to determine what support they would find most helpful. </w:t>
      </w:r>
    </w:p>
    <w:p w14:paraId="7BE876E1" w14:textId="779CD06E" w:rsidR="00806DD4" w:rsidRPr="0097435C" w:rsidRDefault="00806DD4" w:rsidP="00F64A91">
      <w:pPr>
        <w:pStyle w:val="Heading3"/>
      </w:pPr>
      <w:r w:rsidRPr="0097435C">
        <w:t xml:space="preserve">Coming out of lockdown: how to safely restart and re-open </w:t>
      </w:r>
    </w:p>
    <w:p w14:paraId="20259D83" w14:textId="77777777" w:rsidR="00806DD4" w:rsidRPr="0097435C" w:rsidRDefault="00806DD4" w:rsidP="0097435C">
      <w:pPr>
        <w:pStyle w:val="BodyText"/>
      </w:pPr>
      <w:r w:rsidRPr="0097435C">
        <w:t>In June 2020 we ran a webinar focusing on how organisations working with blind and partially sighted people can navigate coming out of lockdown. We brought together three experts in employment law, insurance and business planning and accessibility.</w:t>
      </w:r>
    </w:p>
    <w:p w14:paraId="5E186329" w14:textId="77777777" w:rsidR="00806DD4" w:rsidRDefault="00806DD4" w:rsidP="00F64A91">
      <w:pPr>
        <w:pStyle w:val="Heading3"/>
      </w:pPr>
      <w:r>
        <w:t xml:space="preserve">Pandemic-beating tactics: fundraising during Covid-19 </w:t>
      </w:r>
    </w:p>
    <w:p w14:paraId="68A0FB0D" w14:textId="77777777" w:rsidR="00806DD4" w:rsidRDefault="00806DD4" w:rsidP="00806DD4">
      <w:pPr>
        <w:pStyle w:val="BodyText"/>
      </w:pPr>
      <w:r>
        <w:t xml:space="preserve">In December 2020 we held another webinar with a focus on the Covid-19 Pandemic, but this time around fundraising. We explored the difficulties that this posed together with finding ways in which to raise funds in this challenging environment. The webinar was led by Ben Swart Head of New Partnerships at NSPCC and lead coach and trainer at Bright Spot Fundraising. </w:t>
      </w:r>
    </w:p>
    <w:p w14:paraId="5144608F" w14:textId="02CC15CA" w:rsidR="00806DD4" w:rsidRDefault="00806DD4" w:rsidP="00806DD4">
      <w:pPr>
        <w:pStyle w:val="BodyText"/>
      </w:pPr>
      <w:r>
        <w:t xml:space="preserve">We also offered free fundraising and income generation information, </w:t>
      </w:r>
      <w:proofErr w:type="gramStart"/>
      <w:r>
        <w:t>ideas</w:t>
      </w:r>
      <w:proofErr w:type="gramEnd"/>
      <w:r>
        <w:t xml:space="preserve"> and hands-on support for small local charities with limited resources to ensure they could access emergency funding opportunities. Our Grants Manager provided training on drafting, </w:t>
      </w:r>
      <w:proofErr w:type="gramStart"/>
      <w:r>
        <w:t>writing</w:t>
      </w:r>
      <w:proofErr w:type="gramEnd"/>
      <w:r>
        <w:t xml:space="preserve"> and submitting applications to local charities who had fewer than two fundraising staff (including those on furlough) or who had very low reserves.</w:t>
      </w:r>
    </w:p>
    <w:p w14:paraId="04218CD6" w14:textId="77777777" w:rsidR="00A67720" w:rsidRDefault="00A67720" w:rsidP="00A67720"/>
    <w:p w14:paraId="65D31F48" w14:textId="6F63EE7C" w:rsidR="00A67720" w:rsidRDefault="00A67720" w:rsidP="00A67720"/>
    <w:p w14:paraId="67C10960" w14:textId="73918B4D" w:rsidR="00A67720" w:rsidRDefault="00A67720">
      <w:pPr>
        <w:widowControl/>
        <w:autoSpaceDE/>
        <w:autoSpaceDN/>
      </w:pPr>
      <w:r>
        <w:br w:type="page"/>
      </w:r>
    </w:p>
    <w:p w14:paraId="6E78BFA0" w14:textId="1EF8636A" w:rsidR="00A67720" w:rsidRPr="00546CE5" w:rsidRDefault="00A67720" w:rsidP="00546CE5">
      <w:pPr>
        <w:pStyle w:val="Heading1"/>
      </w:pPr>
      <w:bookmarkStart w:id="9" w:name="_Toc87614375"/>
      <w:r w:rsidRPr="00546CE5">
        <w:lastRenderedPageBreak/>
        <w:t>The Trustees’ Annual Report</w:t>
      </w:r>
      <w:bookmarkEnd w:id="9"/>
    </w:p>
    <w:p w14:paraId="295C4594" w14:textId="77777777" w:rsidR="00A67720" w:rsidRDefault="00A67720" w:rsidP="00A67720">
      <w:r>
        <w:t>Reference and administrative information for the year ended 31 March 2021:</w:t>
      </w:r>
    </w:p>
    <w:p w14:paraId="53E5FA55" w14:textId="77777777" w:rsidR="00A67720" w:rsidRDefault="00A67720" w:rsidP="00A67720"/>
    <w:p w14:paraId="32D09A4F" w14:textId="77777777" w:rsidR="003A5169" w:rsidRDefault="003A5169" w:rsidP="00A67720">
      <w:pPr>
        <w:rPr>
          <w:rStyle w:val="Heading3Char"/>
        </w:rPr>
        <w:sectPr w:rsidR="003A5169" w:rsidSect="00F7270B">
          <w:footerReference w:type="even" r:id="rId9"/>
          <w:footerReference w:type="default" r:id="rId10"/>
          <w:pgSz w:w="11900" w:h="16840"/>
          <w:pgMar w:top="1440" w:right="1440" w:bottom="1440" w:left="1440" w:header="708" w:footer="708" w:gutter="0"/>
          <w:cols w:space="708"/>
          <w:docGrid w:linePitch="360"/>
        </w:sectPr>
      </w:pPr>
    </w:p>
    <w:p w14:paraId="38C1783B" w14:textId="17A1BCB1" w:rsidR="00A67720" w:rsidRDefault="00A67720" w:rsidP="00A67720">
      <w:r w:rsidRPr="00A67720">
        <w:rPr>
          <w:rStyle w:val="Heading3Char"/>
        </w:rPr>
        <w:t>Company Number</w:t>
      </w:r>
      <w:r>
        <w:t xml:space="preserve"> </w:t>
      </w:r>
      <w:r>
        <w:tab/>
        <w:t>03693002</w:t>
      </w:r>
    </w:p>
    <w:p w14:paraId="14373CB6" w14:textId="5ACFF515" w:rsidR="00A67720" w:rsidRDefault="00A67720" w:rsidP="00A67720">
      <w:r w:rsidRPr="00A67720">
        <w:rPr>
          <w:rStyle w:val="Heading3Char"/>
        </w:rPr>
        <w:t>Charity Number</w:t>
      </w:r>
      <w:r>
        <w:tab/>
      </w:r>
      <w:r w:rsidR="00F64A91">
        <w:tab/>
      </w:r>
      <w:r>
        <w:t>1074958</w:t>
      </w:r>
    </w:p>
    <w:p w14:paraId="566AFA4C" w14:textId="30B98316" w:rsidR="00A67720" w:rsidRDefault="00A67720" w:rsidP="00A67720">
      <w:r w:rsidRPr="00A67720">
        <w:rPr>
          <w:rStyle w:val="Heading3Char"/>
        </w:rPr>
        <w:t>Operating name</w:t>
      </w:r>
      <w:r>
        <w:tab/>
      </w:r>
      <w:r w:rsidR="00F64A91">
        <w:tab/>
      </w:r>
      <w:r>
        <w:t>Vision Foundation</w:t>
      </w:r>
    </w:p>
    <w:p w14:paraId="57E6A873" w14:textId="77777777" w:rsidR="00F64A91" w:rsidRDefault="00F64A91" w:rsidP="00A67720"/>
    <w:p w14:paraId="616FDADD" w14:textId="72DA0332" w:rsidR="00A67720" w:rsidRPr="00A67720" w:rsidRDefault="00F64A91" w:rsidP="00F64A91">
      <w:pPr>
        <w:pStyle w:val="Heading3"/>
      </w:pPr>
      <w:r>
        <w:t>R</w:t>
      </w:r>
      <w:r w:rsidR="00A67720" w:rsidRPr="00A67720">
        <w:t>egistered office and operational address</w:t>
      </w:r>
      <w:r w:rsidR="00A67720" w:rsidRPr="00A67720">
        <w:tab/>
      </w:r>
    </w:p>
    <w:p w14:paraId="79758D40" w14:textId="77777777" w:rsidR="003A5169" w:rsidRDefault="00A67720" w:rsidP="003A5169">
      <w:r>
        <w:t>Sir John Mills House</w:t>
      </w:r>
      <w:r w:rsidR="003A5169">
        <w:t xml:space="preserve">, </w:t>
      </w:r>
    </w:p>
    <w:p w14:paraId="070F3413" w14:textId="77777777" w:rsidR="003A5169" w:rsidRDefault="00A67720" w:rsidP="003A5169">
      <w:r>
        <w:t>12 Whitehorse Mews</w:t>
      </w:r>
    </w:p>
    <w:p w14:paraId="0CB5B406" w14:textId="27FBEF11" w:rsidR="00A67720" w:rsidRDefault="00A67720" w:rsidP="003A5169">
      <w:r>
        <w:t xml:space="preserve">37 Westminster Bridge Road </w:t>
      </w:r>
    </w:p>
    <w:p w14:paraId="331EB04B" w14:textId="46D92C3A" w:rsidR="00A67720" w:rsidRDefault="00A67720" w:rsidP="003A5169">
      <w:r>
        <w:t>London SE1 7QD</w:t>
      </w:r>
    </w:p>
    <w:p w14:paraId="14828EDB" w14:textId="77777777" w:rsidR="00F64A91" w:rsidRDefault="00F64A91" w:rsidP="003A5169"/>
    <w:p w14:paraId="3B5E0CEE" w14:textId="77777777" w:rsidR="00A67720" w:rsidRDefault="00A67720" w:rsidP="00A67720"/>
    <w:p w14:paraId="5EEB1A44" w14:textId="77777777" w:rsidR="003A5169" w:rsidRDefault="00A67720" w:rsidP="00A67720">
      <w:r w:rsidRPr="00A67720">
        <w:rPr>
          <w:rStyle w:val="Heading3Char"/>
        </w:rPr>
        <w:t>Country of registration</w:t>
      </w:r>
      <w:r>
        <w:tab/>
      </w:r>
    </w:p>
    <w:p w14:paraId="2222DE94" w14:textId="6FAF1C9B" w:rsidR="00A67720" w:rsidRDefault="00A67720" w:rsidP="00A67720">
      <w:r>
        <w:t>England &amp; Wales</w:t>
      </w:r>
    </w:p>
    <w:p w14:paraId="2BE9573A" w14:textId="77777777" w:rsidR="00F64A91" w:rsidRDefault="00F64A91" w:rsidP="00A67720"/>
    <w:p w14:paraId="02AEA30E" w14:textId="77777777" w:rsidR="003A5169" w:rsidRDefault="003A5169" w:rsidP="00A67720"/>
    <w:p w14:paraId="5F7A7300" w14:textId="77777777" w:rsidR="003A5169" w:rsidRDefault="00A67720" w:rsidP="00A67720">
      <w:r w:rsidRPr="00A67720">
        <w:rPr>
          <w:rStyle w:val="Heading3Char"/>
        </w:rPr>
        <w:t>Country of incorporation</w:t>
      </w:r>
      <w:r>
        <w:t xml:space="preserve">  </w:t>
      </w:r>
      <w:r>
        <w:tab/>
      </w:r>
    </w:p>
    <w:p w14:paraId="527C0BE6" w14:textId="31C41BB8" w:rsidR="00A67720" w:rsidRDefault="00A67720" w:rsidP="00A67720">
      <w:r>
        <w:t>United Kingdom</w:t>
      </w:r>
    </w:p>
    <w:p w14:paraId="4B683EE8" w14:textId="77777777" w:rsidR="00F64A91" w:rsidRDefault="00F64A91" w:rsidP="00A67720"/>
    <w:p w14:paraId="7BE16106" w14:textId="77777777" w:rsidR="00A67720" w:rsidRPr="00B00F69" w:rsidRDefault="00A67720" w:rsidP="00F64A91">
      <w:pPr>
        <w:pStyle w:val="Heading3"/>
      </w:pPr>
      <w:r w:rsidRPr="00B00F69">
        <w:t>Key management</w:t>
      </w:r>
    </w:p>
    <w:p w14:paraId="44CF6663" w14:textId="433656FA" w:rsidR="0097435C" w:rsidRDefault="0097435C" w:rsidP="0097435C">
      <w:r>
        <w:t xml:space="preserve">Georgina Awoonor-Gordon, Director of </w:t>
      </w:r>
      <w:proofErr w:type="gramStart"/>
      <w:r>
        <w:t>Grants</w:t>
      </w:r>
      <w:proofErr w:type="gramEnd"/>
      <w:r>
        <w:t xml:space="preserve"> and Impact</w:t>
      </w:r>
    </w:p>
    <w:p w14:paraId="16CCC09F" w14:textId="77777777" w:rsidR="007D520F" w:rsidRDefault="007D520F" w:rsidP="0097435C"/>
    <w:p w14:paraId="4EFA7DC6" w14:textId="60577913" w:rsidR="0097435C" w:rsidRDefault="0097435C" w:rsidP="0097435C">
      <w:r>
        <w:t>Tamsin Baxter, Director of Development</w:t>
      </w:r>
    </w:p>
    <w:p w14:paraId="346EDAC1" w14:textId="77777777" w:rsidR="007D520F" w:rsidRDefault="007D520F" w:rsidP="0097435C"/>
    <w:p w14:paraId="006089F0" w14:textId="48064AC2" w:rsidR="0097435C" w:rsidRDefault="0097435C" w:rsidP="0097435C">
      <w:r>
        <w:t>Phil Beaven, Director of Retail</w:t>
      </w:r>
    </w:p>
    <w:p w14:paraId="543E0152" w14:textId="77777777" w:rsidR="007D520F" w:rsidRDefault="007D520F" w:rsidP="0097435C"/>
    <w:p w14:paraId="7B1234AC" w14:textId="1BCAF5A2" w:rsidR="0097435C" w:rsidRDefault="0097435C" w:rsidP="0097435C">
      <w:r>
        <w:t>Olivia Curno, Chief Executive</w:t>
      </w:r>
    </w:p>
    <w:p w14:paraId="5AB8FD14" w14:textId="77777777" w:rsidR="007D520F" w:rsidRDefault="007D520F" w:rsidP="0097435C"/>
    <w:p w14:paraId="77B9AC1D" w14:textId="794214AF" w:rsidR="0097435C" w:rsidRDefault="0097435C" w:rsidP="00F64A91">
      <w:r>
        <w:t>Olly Minton, Director of Finance and Resources</w:t>
      </w:r>
    </w:p>
    <w:p w14:paraId="77206592" w14:textId="77777777" w:rsidR="00F64A91" w:rsidRDefault="00F64A91" w:rsidP="00F64A91"/>
    <w:p w14:paraId="529D9466" w14:textId="4BF100D4" w:rsidR="00A67720" w:rsidRPr="00B00F69" w:rsidRDefault="00A67720" w:rsidP="00F64A91">
      <w:pPr>
        <w:pStyle w:val="Heading3"/>
      </w:pPr>
      <w:r w:rsidRPr="00B00F69">
        <w:t>Bankers</w:t>
      </w:r>
    </w:p>
    <w:p w14:paraId="64BB87EF" w14:textId="77777777" w:rsidR="00B00F69" w:rsidRDefault="00A67720" w:rsidP="003A5169">
      <w:r>
        <w:t xml:space="preserve">National Westminster Bank plc. </w:t>
      </w:r>
    </w:p>
    <w:p w14:paraId="0C9474B0" w14:textId="77777777" w:rsidR="00B00F69" w:rsidRDefault="00A67720" w:rsidP="003A5169">
      <w:r>
        <w:t>91 Westminster Bridge Road</w:t>
      </w:r>
    </w:p>
    <w:p w14:paraId="11F1EB41" w14:textId="77777777" w:rsidR="00B00F69" w:rsidRDefault="00A67720" w:rsidP="003A5169">
      <w:r>
        <w:t>London</w:t>
      </w:r>
    </w:p>
    <w:p w14:paraId="413FD310" w14:textId="5A372E23" w:rsidR="00A67720" w:rsidRDefault="00A67720" w:rsidP="003A5169">
      <w:r>
        <w:t>SE1 7HW</w:t>
      </w:r>
    </w:p>
    <w:p w14:paraId="4890DF89" w14:textId="77777777" w:rsidR="00A67720" w:rsidRDefault="00A67720" w:rsidP="00A67720"/>
    <w:p w14:paraId="78DC69A0" w14:textId="77777777" w:rsidR="00A67720" w:rsidRPr="003A5169" w:rsidRDefault="00A67720" w:rsidP="00F64A91">
      <w:pPr>
        <w:pStyle w:val="Heading3"/>
      </w:pPr>
      <w:r w:rsidRPr="003A5169">
        <w:t>Auditor</w:t>
      </w:r>
    </w:p>
    <w:p w14:paraId="3ACD1DAE" w14:textId="77777777" w:rsidR="00A67720" w:rsidRDefault="00A67720" w:rsidP="003A5169">
      <w:r>
        <w:t>Sayer Vincent LLP</w:t>
      </w:r>
    </w:p>
    <w:p w14:paraId="69F86E1B" w14:textId="77777777" w:rsidR="00A67720" w:rsidRDefault="00A67720" w:rsidP="003A5169">
      <w:r>
        <w:lastRenderedPageBreak/>
        <w:t>Chartered Accountants and Statutory Auditor Invicta House</w:t>
      </w:r>
    </w:p>
    <w:p w14:paraId="7AA4F01A" w14:textId="77777777" w:rsidR="00A67720" w:rsidRDefault="00A67720" w:rsidP="003A5169">
      <w:r>
        <w:t>108-114 Golden Lane London</w:t>
      </w:r>
    </w:p>
    <w:p w14:paraId="71F09522" w14:textId="77777777" w:rsidR="00F64A91" w:rsidRDefault="00A67720" w:rsidP="00F64A91">
      <w:r>
        <w:t>EC1Y 0TL</w:t>
      </w:r>
    </w:p>
    <w:p w14:paraId="0D3ED222" w14:textId="25B027B8" w:rsidR="0097435C" w:rsidRPr="00A67720" w:rsidRDefault="0097435C" w:rsidP="00F64A91">
      <w:pPr>
        <w:pStyle w:val="Heading3"/>
      </w:pPr>
      <w:r w:rsidRPr="00A67720">
        <w:t>Trustees</w:t>
      </w:r>
    </w:p>
    <w:p w14:paraId="3E10172D" w14:textId="77777777" w:rsidR="0097435C" w:rsidRDefault="0097435C" w:rsidP="0097435C">
      <w:r>
        <w:t>The Trustees, who are also directors under company law, who served during the year and up to the date of this report were as follows:</w:t>
      </w:r>
    </w:p>
    <w:p w14:paraId="0A55F55D" w14:textId="77777777" w:rsidR="0097435C" w:rsidRDefault="0097435C" w:rsidP="0097435C"/>
    <w:p w14:paraId="1EB2A65C" w14:textId="77777777" w:rsidR="0097435C" w:rsidRDefault="0097435C" w:rsidP="0097435C">
      <w:r>
        <w:t xml:space="preserve">Darren Barker (Appointed on 23 December 2020) </w:t>
      </w:r>
    </w:p>
    <w:p w14:paraId="762E2298" w14:textId="77777777" w:rsidR="0097435C" w:rsidRDefault="0097435C" w:rsidP="0097435C"/>
    <w:p w14:paraId="46A4EC64" w14:textId="54EF2A14" w:rsidR="0097435C" w:rsidRDefault="0097435C" w:rsidP="0097435C">
      <w:r>
        <w:t xml:space="preserve">Victoria Currey (Appointed on 23 December 2020) </w:t>
      </w:r>
    </w:p>
    <w:p w14:paraId="7DB12149" w14:textId="77777777" w:rsidR="0097435C" w:rsidRDefault="0097435C" w:rsidP="0097435C"/>
    <w:p w14:paraId="400D916B" w14:textId="62F21F8C" w:rsidR="0097435C" w:rsidRDefault="0097435C" w:rsidP="0097435C">
      <w:r>
        <w:t>Keith Felton* #</w:t>
      </w:r>
    </w:p>
    <w:p w14:paraId="15214193" w14:textId="77777777" w:rsidR="0097435C" w:rsidRDefault="0097435C" w:rsidP="0097435C"/>
    <w:p w14:paraId="63908E96" w14:textId="0F56EF26" w:rsidR="0097435C" w:rsidRDefault="0097435C" w:rsidP="0097435C">
      <w:r>
        <w:t xml:space="preserve">Heather Goodhew # (Appointed as Acting Chair 28 August 2020) </w:t>
      </w:r>
    </w:p>
    <w:p w14:paraId="434A2FD9" w14:textId="77777777" w:rsidR="0097435C" w:rsidRDefault="0097435C" w:rsidP="0097435C"/>
    <w:p w14:paraId="3BBAECBB" w14:textId="37DD63CB" w:rsidR="0097435C" w:rsidRDefault="0097435C" w:rsidP="0097435C">
      <w:r>
        <w:t xml:space="preserve">Andy Gregson* (Resigned 27 May 2020) </w:t>
      </w:r>
    </w:p>
    <w:p w14:paraId="61008B3C" w14:textId="77777777" w:rsidR="0097435C" w:rsidRDefault="0097435C" w:rsidP="0097435C"/>
    <w:p w14:paraId="0D188C6A" w14:textId="101A6E27" w:rsidR="0097435C" w:rsidRDefault="0097435C" w:rsidP="0097435C">
      <w:r>
        <w:t xml:space="preserve">Elizabeth </w:t>
      </w:r>
      <w:proofErr w:type="spellStart"/>
      <w:r>
        <w:t>Honer</w:t>
      </w:r>
      <w:proofErr w:type="spellEnd"/>
      <w:r>
        <w:t>*</w:t>
      </w:r>
    </w:p>
    <w:p w14:paraId="75411A6D" w14:textId="77777777" w:rsidR="0097435C" w:rsidRDefault="0097435C" w:rsidP="0097435C"/>
    <w:p w14:paraId="01CF871E" w14:textId="6CEA580F" w:rsidR="0097435C" w:rsidRDefault="0097435C" w:rsidP="0097435C">
      <w:r>
        <w:t>Bob Hughes</w:t>
      </w:r>
    </w:p>
    <w:p w14:paraId="117F3DC1" w14:textId="77777777" w:rsidR="0097435C" w:rsidRDefault="0097435C" w:rsidP="0097435C">
      <w:r>
        <w:t xml:space="preserve">Ly Lam (Treasurer)* (Appointed on 17 June 2020) </w:t>
      </w:r>
    </w:p>
    <w:p w14:paraId="55761895" w14:textId="77777777" w:rsidR="0097435C" w:rsidRDefault="0097435C" w:rsidP="0097435C"/>
    <w:p w14:paraId="5970BCE7" w14:textId="5D9FC5DA" w:rsidR="0097435C" w:rsidRDefault="0097435C" w:rsidP="0097435C">
      <w:r>
        <w:t xml:space="preserve">Susanette Mansour </w:t>
      </w:r>
    </w:p>
    <w:p w14:paraId="60E18F39" w14:textId="77777777" w:rsidR="0097435C" w:rsidRDefault="0097435C" w:rsidP="0097435C"/>
    <w:p w14:paraId="550BC5B4" w14:textId="2E99E48C" w:rsidR="0097435C" w:rsidRDefault="0097435C" w:rsidP="0097435C">
      <w:r>
        <w:t>Dr Amit Patel (Appointed on 23 December 2020)</w:t>
      </w:r>
    </w:p>
    <w:p w14:paraId="67968597" w14:textId="77777777" w:rsidR="0097435C" w:rsidRDefault="0097435C" w:rsidP="0097435C"/>
    <w:p w14:paraId="3FAC77C9" w14:textId="484058AB" w:rsidR="0097435C" w:rsidRDefault="0097435C" w:rsidP="0097435C">
      <w:r>
        <w:t>Sharon Petrie* #</w:t>
      </w:r>
    </w:p>
    <w:p w14:paraId="6DB10460" w14:textId="77777777" w:rsidR="0097435C" w:rsidRDefault="0097435C" w:rsidP="0097435C"/>
    <w:p w14:paraId="567C3B5A" w14:textId="148FDA29" w:rsidR="0097435C" w:rsidRDefault="0097435C" w:rsidP="0097435C">
      <w:r>
        <w:t>Anna Tylor (Chair) Resigned 28 August 2020</w:t>
      </w:r>
    </w:p>
    <w:p w14:paraId="76FDC3A8" w14:textId="77777777" w:rsidR="0097435C" w:rsidRDefault="0097435C" w:rsidP="0097435C"/>
    <w:p w14:paraId="00480DAE" w14:textId="77777777" w:rsidR="0097435C" w:rsidRDefault="0097435C" w:rsidP="0097435C">
      <w:r>
        <w:t>* Members of Finance, Audit and Risk Committee</w:t>
      </w:r>
    </w:p>
    <w:p w14:paraId="6741733F" w14:textId="77777777" w:rsidR="0097435C" w:rsidRDefault="0097435C" w:rsidP="0097435C">
      <w:r>
        <w:t># Members of Trading Board</w:t>
      </w:r>
    </w:p>
    <w:p w14:paraId="26D59286" w14:textId="77777777" w:rsidR="003A5169" w:rsidRDefault="003A5169" w:rsidP="00A67720"/>
    <w:p w14:paraId="6BEE2C8B" w14:textId="77777777" w:rsidR="0097435C" w:rsidRDefault="0097435C" w:rsidP="00A67720">
      <w:pPr>
        <w:sectPr w:rsidR="0097435C" w:rsidSect="0097435C">
          <w:type w:val="continuous"/>
          <w:pgSz w:w="11900" w:h="16840"/>
          <w:pgMar w:top="1440" w:right="1440" w:bottom="1440" w:left="1440" w:header="708" w:footer="708" w:gutter="0"/>
          <w:cols w:space="708"/>
          <w:docGrid w:linePitch="360"/>
        </w:sectPr>
      </w:pPr>
    </w:p>
    <w:p w14:paraId="7185FC41" w14:textId="77777777" w:rsidR="003A5169" w:rsidRDefault="003A5169" w:rsidP="00A67720"/>
    <w:p w14:paraId="610CA781" w14:textId="77777777" w:rsidR="003A5169" w:rsidRDefault="003A5169" w:rsidP="00A67720"/>
    <w:p w14:paraId="63B51438" w14:textId="77777777" w:rsidR="003A5169" w:rsidRDefault="003A5169" w:rsidP="00A67720"/>
    <w:p w14:paraId="6827D729" w14:textId="66998513" w:rsidR="003A5169" w:rsidRDefault="003A5169" w:rsidP="00A67720">
      <w:pPr>
        <w:sectPr w:rsidR="003A5169" w:rsidSect="003A5169">
          <w:type w:val="continuous"/>
          <w:pgSz w:w="11900" w:h="16840"/>
          <w:pgMar w:top="1440" w:right="1440" w:bottom="1440" w:left="1440" w:header="708" w:footer="708" w:gutter="0"/>
          <w:cols w:num="2" w:space="708"/>
          <w:docGrid w:linePitch="360"/>
        </w:sectPr>
      </w:pPr>
    </w:p>
    <w:p w14:paraId="1F4C0BC6" w14:textId="77777777" w:rsidR="007D520F" w:rsidRDefault="007D520F">
      <w:pPr>
        <w:widowControl/>
        <w:autoSpaceDE/>
        <w:autoSpaceDN/>
        <w:rPr>
          <w:color w:val="35499A"/>
          <w:sz w:val="52"/>
          <w:szCs w:val="52"/>
        </w:rPr>
      </w:pPr>
      <w:r>
        <w:rPr>
          <w:color w:val="35499A"/>
          <w:sz w:val="52"/>
          <w:szCs w:val="52"/>
        </w:rPr>
        <w:br w:type="page"/>
      </w:r>
    </w:p>
    <w:p w14:paraId="6CD780D8" w14:textId="2D4A87E4" w:rsidR="00A67720" w:rsidRPr="00C65369" w:rsidRDefault="00A67720" w:rsidP="007D520F">
      <w:pPr>
        <w:pStyle w:val="Heading1"/>
      </w:pPr>
      <w:r w:rsidRPr="00C65369">
        <w:lastRenderedPageBreak/>
        <w:t xml:space="preserve">Trustees’ </w:t>
      </w:r>
      <w:r w:rsidR="003A5169" w:rsidRPr="00C65369">
        <w:t>A</w:t>
      </w:r>
      <w:r w:rsidRPr="00C65369">
        <w:t xml:space="preserve">nnual </w:t>
      </w:r>
      <w:r w:rsidR="003A5169" w:rsidRPr="00C65369">
        <w:t>R</w:t>
      </w:r>
      <w:r w:rsidRPr="00C65369">
        <w:t>eport</w:t>
      </w:r>
    </w:p>
    <w:p w14:paraId="2276DF59" w14:textId="77777777" w:rsidR="00A67720" w:rsidRPr="00C65369" w:rsidRDefault="00A67720" w:rsidP="00F64A91">
      <w:pPr>
        <w:pStyle w:val="Heading2"/>
      </w:pPr>
      <w:r w:rsidRPr="00C65369">
        <w:t>For the year ended 31 March 2021</w:t>
      </w:r>
    </w:p>
    <w:p w14:paraId="2157D766" w14:textId="77777777" w:rsidR="007D520F" w:rsidRPr="007D520F" w:rsidRDefault="007D520F" w:rsidP="007D520F">
      <w:pPr>
        <w:pStyle w:val="BodyText"/>
        <w:rPr>
          <w:b/>
          <w:bCs/>
        </w:rPr>
      </w:pPr>
      <w:r w:rsidRPr="007D520F">
        <w:rPr>
          <w:b/>
          <w:bCs/>
        </w:rPr>
        <w:t>The Trustees present their report and the audited financial statements for the year ended 31 March 2021.</w:t>
      </w:r>
    </w:p>
    <w:p w14:paraId="3171486F" w14:textId="5A892CFA" w:rsidR="00A67720" w:rsidRPr="00F64A91" w:rsidRDefault="007D520F" w:rsidP="00F64A91">
      <w:pPr>
        <w:pStyle w:val="BodyText"/>
        <w:rPr>
          <w:b/>
          <w:bCs/>
        </w:rPr>
      </w:pPr>
      <w:r w:rsidRPr="007D520F">
        <w:rPr>
          <w:b/>
          <w:bCs/>
        </w:rPr>
        <w:t>Reference and administrative information set out on page 14 form part of this report. The financial statements of the Vision Foundation for London (Vision Foundation) comply with current statutory requirements, the memorandum and articles of association and the Statement of Recommended Practice – Accounting and Reporting by Charities: SORP applicable to charities preparing their accounts in accordance with FRS102.</w:t>
      </w:r>
    </w:p>
    <w:p w14:paraId="61F499D2" w14:textId="77777777" w:rsidR="00A67720" w:rsidRPr="007D520F" w:rsidRDefault="00A67720" w:rsidP="00F64A91">
      <w:pPr>
        <w:pStyle w:val="Heading3"/>
      </w:pPr>
      <w:r w:rsidRPr="007D520F">
        <w:t>Public Benefit</w:t>
      </w:r>
    </w:p>
    <w:p w14:paraId="7FBE02C6" w14:textId="77777777" w:rsidR="00A67720" w:rsidRDefault="00A67720" w:rsidP="007D520F">
      <w:pPr>
        <w:pStyle w:val="BodyText"/>
      </w:pPr>
      <w:r>
        <w:t>For a century the charity has successfully raised funds to support the work of charities engaged in meeting the ever-changing needs of blind and partially sighted people. Without these funds raised and distributed by the Vision Foundation (formerly Greater London Fund for the Blind), many essential services would be lost or reduced significantly at a time of growing need.</w:t>
      </w:r>
    </w:p>
    <w:p w14:paraId="5FB00483" w14:textId="77777777" w:rsidR="00A67720" w:rsidRDefault="00A67720" w:rsidP="007D520F">
      <w:pPr>
        <w:pStyle w:val="BodyText"/>
      </w:pPr>
      <w:r>
        <w:t>On 11 March 2020, the Vision Foundation adopted new Articles of Association which set out the following objects:</w:t>
      </w:r>
    </w:p>
    <w:p w14:paraId="7EAA01EF" w14:textId="5C4A29CD" w:rsidR="00A67720" w:rsidRPr="003A5169" w:rsidRDefault="00A67720" w:rsidP="007D520F">
      <w:pPr>
        <w:pStyle w:val="Heading4"/>
      </w:pPr>
      <w:r w:rsidRPr="003A5169">
        <w:t>The purpose of the charity is for the public benefit, the relief of people in need by reason of blindness or visual impairment and the advancement of education and health in all areas relating to blindness and sight loss</w:t>
      </w:r>
      <w:proofErr w:type="gramStart"/>
      <w:r w:rsidRPr="003A5169">
        <w:t>, in particular, but</w:t>
      </w:r>
      <w:proofErr w:type="gramEnd"/>
      <w:r w:rsidRPr="003A5169">
        <w:t xml:space="preserve"> not limited to, providing grants.</w:t>
      </w:r>
    </w:p>
    <w:p w14:paraId="07A3EEB4" w14:textId="77777777" w:rsidR="007D520F" w:rsidRDefault="007D520F" w:rsidP="007D520F">
      <w:pPr>
        <w:widowControl/>
        <w:suppressAutoHyphens/>
        <w:adjustRightInd w:val="0"/>
        <w:spacing w:after="100" w:line="280" w:lineRule="atLeast"/>
        <w:textAlignment w:val="center"/>
        <w:rPr>
          <w:rFonts w:eastAsia="MS Mincho" w:cs="FS Albert"/>
          <w:color w:val="11100D"/>
          <w:szCs w:val="24"/>
        </w:rPr>
      </w:pPr>
    </w:p>
    <w:p w14:paraId="6FE2151D" w14:textId="0B2E3B41" w:rsidR="007D520F" w:rsidRPr="007D520F" w:rsidRDefault="007D520F" w:rsidP="007D520F">
      <w:pPr>
        <w:pStyle w:val="BodyText"/>
      </w:pPr>
      <w:r w:rsidRPr="007D520F">
        <w:t xml:space="preserve">The Trustees review the aims, </w:t>
      </w:r>
      <w:proofErr w:type="gramStart"/>
      <w:r w:rsidRPr="007D520F">
        <w:t>objectives</w:t>
      </w:r>
      <w:proofErr w:type="gramEnd"/>
      <w:r w:rsidRPr="007D520F">
        <w:t xml:space="preserve"> and activities on a regular basis to ensure the charity remains focussed on its stated purposes. This report looks at what the charity has achieved and the outcomes of its work in the reporting period. </w:t>
      </w:r>
    </w:p>
    <w:p w14:paraId="4F50DD90" w14:textId="77777777" w:rsidR="007D520F" w:rsidRPr="007D520F" w:rsidRDefault="007D520F" w:rsidP="007D520F">
      <w:pPr>
        <w:pStyle w:val="BodyText"/>
      </w:pPr>
      <w:r w:rsidRPr="007D520F">
        <w:t>The Trustees have referred to the guidance contained in the Charity Commission’s general guidance on public benefit when reviewing the charity’s aims and objectives and in planning its future activities. In particular, the Trustees consider how planned activities will contribute to the aims and objectives that have been set.</w:t>
      </w:r>
    </w:p>
    <w:p w14:paraId="6C50CA08" w14:textId="77777777" w:rsidR="007D520F" w:rsidRPr="007D520F" w:rsidRDefault="007D520F" w:rsidP="007D520F">
      <w:pPr>
        <w:pStyle w:val="BodyText"/>
      </w:pPr>
      <w:r w:rsidRPr="007D520F">
        <w:t xml:space="preserve">In 2019/20, we were pleased to make significant strides in the amounts that we spent on our charitable purpose. In that financial year, we had charitable expenditure of £2.08m. The charity received £2.09m of income (including the movement in value of our investments), plus a £34k contribution from our trading activities, meaning that we spent 98% of the charity’s income on charitable purpose in that year. In terms of expenditure, setting aside our trading activities which are not funded by donations, 81% of our spending was on charitable purpose. </w:t>
      </w:r>
    </w:p>
    <w:p w14:paraId="7263843F" w14:textId="77777777" w:rsidR="007D520F" w:rsidRPr="007D520F" w:rsidRDefault="007D520F" w:rsidP="007D520F">
      <w:pPr>
        <w:pStyle w:val="BodyText"/>
      </w:pPr>
      <w:r w:rsidRPr="007D520F">
        <w:t xml:space="preserve">In 2020/21, </w:t>
      </w:r>
      <w:proofErr w:type="gramStart"/>
      <w:r w:rsidRPr="007D520F">
        <w:t>as a result of</w:t>
      </w:r>
      <w:proofErr w:type="gramEnd"/>
      <w:r w:rsidRPr="007D520F">
        <w:t xml:space="preserve"> Covid-19 and a number of other necessary infrastructure investments, our charitable expenditure of £0.84m was much lower than we want or expect. The charity received £1.94m of income (including the movement in value of our investments) but did not receive a contribution from trading activities following the significant in-year loss. This meant that we spent a much lower 43% of the charity’s income on charitable purpose. In terms of the overall result, we suffered a £0.37m loss in our trading activities which therefore had to be partially funded through the charity’s reserves. </w:t>
      </w:r>
      <w:r w:rsidRPr="007D520F">
        <w:lastRenderedPageBreak/>
        <w:t>This, in addition to other expenditure within the organisation, meant that only 43% of our spending was on charitable purpose.</w:t>
      </w:r>
    </w:p>
    <w:p w14:paraId="10131D0A" w14:textId="77777777" w:rsidR="00435EF5" w:rsidRDefault="00435EF5" w:rsidP="00F64A91">
      <w:pPr>
        <w:pStyle w:val="Heading2"/>
      </w:pPr>
    </w:p>
    <w:p w14:paraId="4666695D" w14:textId="0F2B8F82" w:rsidR="00A67720" w:rsidRDefault="00A67720" w:rsidP="00F64A91">
      <w:pPr>
        <w:pStyle w:val="Heading2"/>
      </w:pPr>
      <w:bookmarkStart w:id="10" w:name="_Toc87614376"/>
      <w:r>
        <w:t xml:space="preserve">Structure, </w:t>
      </w:r>
      <w:r w:rsidR="007D520F">
        <w:t>G</w:t>
      </w:r>
      <w:r>
        <w:t xml:space="preserve">overnance and </w:t>
      </w:r>
      <w:r w:rsidR="007D520F">
        <w:t>M</w:t>
      </w:r>
      <w:r>
        <w:t>anagement</w:t>
      </w:r>
      <w:bookmarkEnd w:id="10"/>
    </w:p>
    <w:p w14:paraId="32BCB6CB" w14:textId="77777777" w:rsidR="007D520F" w:rsidRDefault="007D520F" w:rsidP="007D520F">
      <w:pPr>
        <w:pStyle w:val="BodyText"/>
      </w:pPr>
      <w:r>
        <w:t>The Vision Foundation (‘the Charity’) is a registered charity, number 1074958, and a company limited by guarantee under company number 03693002. The Charity was formerly known as the Greater London Fund for the Blind, and the name was formally changed on 31 July 2019 to Vision Foundation for London. The accepted operating name is Vision Foundation. The Charity has one subsidiary, GLF Charitable Purpose Trading Company Ltd (Company number 00894747), the principal activity of which is the operation of shops.</w:t>
      </w:r>
    </w:p>
    <w:p w14:paraId="0CBD63BD" w14:textId="77777777" w:rsidR="007D520F" w:rsidRDefault="007D520F" w:rsidP="007D520F">
      <w:pPr>
        <w:pStyle w:val="BodyText"/>
      </w:pPr>
      <w:r>
        <w:t>2019/20 marked a profound constitutional and governance change. Originally set up to raise funds for its member charities, we (as the “Greater London Fund for the Blind”) provided unrestricted funds to member charities annually based on the amount of funds generated.</w:t>
      </w:r>
    </w:p>
    <w:p w14:paraId="58A802E7" w14:textId="77777777" w:rsidR="007D520F" w:rsidRDefault="007D520F" w:rsidP="007D520F">
      <w:pPr>
        <w:pStyle w:val="BodyText"/>
      </w:pPr>
      <w:r>
        <w:t xml:space="preserve">Our new strategy, launched in October 2019, set out our commitment to maximise our impact for blind and partially sighted people. We therefore embarked on a process of discussion and engagement with our member charities to explore how we needed to evolve our approach. Through that process, the members began to share our vision of being an impactful funder for the sector. They agreed that our historic model needed modernisation to be fit for the future. This culminated on 11 March 2020 with an Extraordinary General Meeting in which the member charities unanimously voted to adopt new articles which ended the membership model, so that Vision Foundation became a </w:t>
      </w:r>
      <w:proofErr w:type="spellStart"/>
      <w:r>
        <w:t>grantmaking</w:t>
      </w:r>
      <w:proofErr w:type="spellEnd"/>
      <w:r>
        <w:t xml:space="preserve"> and advocacy foundation which could make funding decisions based on need and impact rather than historic relationships.</w:t>
      </w:r>
    </w:p>
    <w:p w14:paraId="40844F6E" w14:textId="77777777" w:rsidR="007D520F" w:rsidRDefault="007D520F" w:rsidP="007D520F">
      <w:pPr>
        <w:pStyle w:val="BodyText"/>
      </w:pPr>
      <w:r>
        <w:t xml:space="preserve">In 2020/21 we have built on this transition, funding projects based solely on their potential for impact in line with our strategic aims. We have provided expertise and training to over 20 charities </w:t>
      </w:r>
      <w:proofErr w:type="gramStart"/>
      <w:r>
        <w:t>in order to</w:t>
      </w:r>
      <w:proofErr w:type="gramEnd"/>
      <w:r>
        <w:t xml:space="preserve"> increase professional skills and capacity in the sight loss sector. We have delivered campaigns and events designed to share the voices of blind and partially sighted people, reaching an estimated 2.5 million through direct participation, social reach, and press coverage. We have contributed to the knowledge base on which services can be designed by commissioning research into the impact of lockdown for blind people and the barriers to employment, leading to the award-finalist #BlindLockdownLife campaign and the ground-breaking See My Skills report on sight loss unemployment. </w:t>
      </w:r>
    </w:p>
    <w:p w14:paraId="1505A4E6" w14:textId="7B97DD45" w:rsidR="007D520F" w:rsidRDefault="007D520F" w:rsidP="007D520F">
      <w:pPr>
        <w:pStyle w:val="BodyText"/>
      </w:pPr>
      <w:r>
        <w:t>The effects of the Covid-19 Pandemic have not disappeared, but it remains a key focus of the charity to ensure that its trading activities provide a positive contribution to fund its work, and that we make the best and most effective use of donors’ money as possible.</w:t>
      </w:r>
    </w:p>
    <w:p w14:paraId="0C108BD1" w14:textId="77777777" w:rsidR="007D520F" w:rsidRDefault="007D520F" w:rsidP="007D520F">
      <w:pPr>
        <w:pStyle w:val="BodyText"/>
      </w:pPr>
    </w:p>
    <w:p w14:paraId="1493D4B0" w14:textId="77777777" w:rsidR="007D520F" w:rsidRPr="007D520F" w:rsidRDefault="007D520F" w:rsidP="00F64A91">
      <w:pPr>
        <w:pStyle w:val="Heading3"/>
      </w:pPr>
      <w:r w:rsidRPr="007D520F">
        <w:t>Fundraising</w:t>
      </w:r>
    </w:p>
    <w:p w14:paraId="06532235" w14:textId="77777777" w:rsidR="007D520F" w:rsidRDefault="007D520F" w:rsidP="007D520F">
      <w:pPr>
        <w:pStyle w:val="BodyText"/>
      </w:pPr>
      <w:r>
        <w:t xml:space="preserve">The Charity acts in compliance with the terms laid down by the Fundraising Regulator, new data protection guidelines and the highest professional conduct and standards when raising funds from the </w:t>
      </w:r>
      <w:proofErr w:type="gramStart"/>
      <w:r>
        <w:t>general public</w:t>
      </w:r>
      <w:proofErr w:type="gramEnd"/>
      <w:r>
        <w:t>.</w:t>
      </w:r>
    </w:p>
    <w:p w14:paraId="3E53FC8F" w14:textId="77777777" w:rsidR="007D520F" w:rsidRDefault="007D520F" w:rsidP="007D520F">
      <w:pPr>
        <w:pStyle w:val="BodyText"/>
      </w:pPr>
      <w:r>
        <w:t xml:space="preserve">Historically, the Vision Foundation has used external agencies to support its individual giving activities. At present, no such third parties or commercial participators are being used.  We </w:t>
      </w:r>
      <w:r>
        <w:lastRenderedPageBreak/>
        <w:t xml:space="preserve">did use a telemarketing firm in this period, not for fundraising but to offer support during the pandemic and proactively offer payment holidays for supporters experiencing financial difficulties.  </w:t>
      </w:r>
    </w:p>
    <w:p w14:paraId="370CC15B" w14:textId="77777777" w:rsidR="007D520F" w:rsidRDefault="007D520F" w:rsidP="007D520F">
      <w:pPr>
        <w:pStyle w:val="BodyText"/>
      </w:pPr>
      <w:r>
        <w:t>In all our fundraising we adhere to our Fundraising Policy and Fundraising Promise, both of which are aligned to the Chartered Institute of Fundraising and the Fundraising Regulator’s Code of Fundraising Practice. We received no complaints about fundraising activity in 2020/21.</w:t>
      </w:r>
    </w:p>
    <w:p w14:paraId="7F629DDE" w14:textId="77777777" w:rsidR="007D520F" w:rsidRDefault="007D520F" w:rsidP="007D520F">
      <w:pPr>
        <w:pStyle w:val="BodyText"/>
      </w:pPr>
      <w:r>
        <w:t xml:space="preserve">In the previous year (2019/20) investment was made to establish the new fundraising team at the Vision Foundation with new posts in Events and Community, Centenary Appeal and Corporate Partnerships. As a result of the national lockdowns and the cessation and/or cancellation of our events and community programme, resources from the Events team have been deployed to support other fundraising areas where income growth was feasible, and the investment in Centenary Appeal fundraising and Corporate Partnerships has proven fruitful. </w:t>
      </w:r>
    </w:p>
    <w:p w14:paraId="054F3760" w14:textId="77777777" w:rsidR="007D520F" w:rsidRDefault="007D520F" w:rsidP="007D520F">
      <w:pPr>
        <w:pStyle w:val="BodyText"/>
      </w:pPr>
      <w:r>
        <w:t xml:space="preserve">In 2020/21 we brought in three consultants on interim or </w:t>
      </w:r>
      <w:proofErr w:type="gramStart"/>
      <w:r>
        <w:t>short term</w:t>
      </w:r>
      <w:proofErr w:type="gramEnd"/>
      <w:r>
        <w:t xml:space="preserve"> contracts to help grow our specialism in individual giving acquisition, celebrity liaison and high value fundraising. We also used specialist consultants on corporate and major donor fundraising </w:t>
      </w:r>
      <w:proofErr w:type="gramStart"/>
      <w:r>
        <w:t>in order to</w:t>
      </w:r>
      <w:proofErr w:type="gramEnd"/>
      <w:r>
        <w:t xml:space="preserve"> build our propositions and pipelines in these areas. 2020/21 was the first year of operation of the new team and structure and, in the context of the time it takes to build up a pipeline of prospects and supporter base, we are pleased that performance exceeded budgetary expectations.  </w:t>
      </w:r>
    </w:p>
    <w:p w14:paraId="4B0C1CBD" w14:textId="77777777" w:rsidR="007D520F" w:rsidRDefault="007D520F" w:rsidP="007D520F">
      <w:pPr>
        <w:pStyle w:val="BodyText"/>
      </w:pPr>
      <w:r>
        <w:t xml:space="preserve">The Vision Foundation’s centenary anniversary launched in January 2020, alongside the launch of an employment focussed Centenary Appeal. The Appeal is supported by an Appeal Board of 12 senior volunteers. </w:t>
      </w:r>
    </w:p>
    <w:p w14:paraId="2AB767B6" w14:textId="77777777" w:rsidR="007D520F" w:rsidRDefault="007D520F" w:rsidP="007D520F">
      <w:pPr>
        <w:pStyle w:val="BodyText"/>
      </w:pPr>
      <w:r>
        <w:t xml:space="preserve">Within our fundraising policy and </w:t>
      </w:r>
      <w:proofErr w:type="gramStart"/>
      <w:r>
        <w:t>approach</w:t>
      </w:r>
      <w:proofErr w:type="gramEnd"/>
      <w:r>
        <w:t xml:space="preserve"> we make sure we protect vulnerable people and our staff are trained in this area of our work.</w:t>
      </w:r>
    </w:p>
    <w:p w14:paraId="59127DEB" w14:textId="77777777" w:rsidR="007D520F" w:rsidRDefault="007D520F" w:rsidP="007D520F">
      <w:pPr>
        <w:pStyle w:val="BodyText"/>
      </w:pPr>
    </w:p>
    <w:p w14:paraId="3575812E" w14:textId="77777777" w:rsidR="007D520F" w:rsidRDefault="007D520F" w:rsidP="00F64A91">
      <w:pPr>
        <w:pStyle w:val="Heading3"/>
      </w:pPr>
      <w:r>
        <w:t>Organisational structure</w:t>
      </w:r>
    </w:p>
    <w:p w14:paraId="77E98F42" w14:textId="77777777" w:rsidR="007D520F" w:rsidRDefault="007D520F" w:rsidP="007D520F">
      <w:pPr>
        <w:pStyle w:val="BodyText"/>
      </w:pPr>
      <w:r>
        <w:t xml:space="preserve">The Board of Trustees (see page 14) is responsible for the overall governance, strategic management and planning of the charity, with the power to approve budgets, allocations, investments, </w:t>
      </w:r>
      <w:proofErr w:type="gramStart"/>
      <w:r>
        <w:t>retentions</w:t>
      </w:r>
      <w:proofErr w:type="gramEnd"/>
      <w:r>
        <w:t xml:space="preserve"> and such designation of any of the special reserves held. The Board meets at least four times a year.</w:t>
      </w:r>
    </w:p>
    <w:p w14:paraId="5629D71A" w14:textId="77777777" w:rsidR="007D520F" w:rsidRDefault="007D520F" w:rsidP="007D520F">
      <w:pPr>
        <w:pStyle w:val="BodyText"/>
      </w:pPr>
      <w:r>
        <w:t>A Finance, Audit and Risk committee normally meets two weeks prior to the four quarterly meetings of the Board to give more detailed consideration to such finance, audit and risk matters delegated to it by the Board. The day-to-day management of the charity is delegated to the Chief Executive. There is also a Trading Board overseeing the activity of the trading company subsidiary.</w:t>
      </w:r>
    </w:p>
    <w:p w14:paraId="1E2DF1AA" w14:textId="77777777" w:rsidR="007D520F" w:rsidRDefault="007D520F" w:rsidP="007D520F">
      <w:pPr>
        <w:pStyle w:val="BodyText"/>
      </w:pPr>
      <w:r>
        <w:t>The Articles of Association and Board Terms of Reference provide for a Board composition of 10-14 members, and up to 16 members to allow for periods of induction or overlap when Trustees are leaving or joining. The composition of the Board is as follows:</w:t>
      </w:r>
    </w:p>
    <w:p w14:paraId="639CCBD7" w14:textId="77777777" w:rsidR="007D520F" w:rsidRDefault="007D520F" w:rsidP="007D520F">
      <w:pPr>
        <w:pStyle w:val="List"/>
      </w:pPr>
      <w:r>
        <w:t>Chair of Trustees appointed by the Board - an Honorary Officer</w:t>
      </w:r>
    </w:p>
    <w:p w14:paraId="1144E315" w14:textId="77777777" w:rsidR="007D520F" w:rsidRDefault="007D520F" w:rsidP="007D520F">
      <w:pPr>
        <w:pStyle w:val="List"/>
      </w:pPr>
      <w:r>
        <w:t>Vice Chair - an Honorary Officer</w:t>
      </w:r>
    </w:p>
    <w:p w14:paraId="1AC8464B" w14:textId="77777777" w:rsidR="007D520F" w:rsidRDefault="007D520F" w:rsidP="007D520F">
      <w:pPr>
        <w:pStyle w:val="List"/>
      </w:pPr>
      <w:r>
        <w:t xml:space="preserve">A Chair of the Finance, Audit and Risk Committee who will also hold the title of </w:t>
      </w:r>
      <w:r>
        <w:lastRenderedPageBreak/>
        <w:t>Honorary Treasurer and Honorary Officer</w:t>
      </w:r>
    </w:p>
    <w:p w14:paraId="103D5E6D" w14:textId="77777777" w:rsidR="007D520F" w:rsidRDefault="007D520F" w:rsidP="007D520F">
      <w:pPr>
        <w:pStyle w:val="List"/>
      </w:pPr>
      <w:r>
        <w:t>Other Trustees</w:t>
      </w:r>
    </w:p>
    <w:p w14:paraId="689F27A3" w14:textId="77777777" w:rsidR="007D520F" w:rsidRDefault="007D520F" w:rsidP="007D520F">
      <w:pPr>
        <w:pStyle w:val="BodyText"/>
      </w:pPr>
    </w:p>
    <w:p w14:paraId="1D5C3166" w14:textId="71D08C31" w:rsidR="007D520F" w:rsidRDefault="007D520F" w:rsidP="007D520F">
      <w:pPr>
        <w:pStyle w:val="BodyText"/>
      </w:pPr>
      <w:r>
        <w:t>Appointments are for a maximum of two terms of three years without break. Each Trustee also holds the office of Director of the Company.</w:t>
      </w:r>
    </w:p>
    <w:p w14:paraId="74DFD990" w14:textId="77777777" w:rsidR="007D520F" w:rsidRDefault="007D520F" w:rsidP="007D520F">
      <w:pPr>
        <w:pStyle w:val="BodyText"/>
      </w:pPr>
      <w:r>
        <w:t>The Board is committed to ensuring a diverse skills-based Board and at different times will use different methods, including open recruitment, to achieve that. The Board is particularly keen and actively working towards achieving more representation on the Board of people with lived experience of sight loss and were pleased to make two appointments who had lived expertise in 2020/21.</w:t>
      </w:r>
    </w:p>
    <w:p w14:paraId="04A7B543" w14:textId="30E596BD" w:rsidR="007D520F" w:rsidRDefault="007D520F" w:rsidP="007D520F">
      <w:pPr>
        <w:pStyle w:val="BodyText"/>
      </w:pPr>
      <w:r>
        <w:t>New Trustees receive an induction plan including meeting with Board colleagues and key executives, and a pack of relevant information about the charity and the responsibilities of Trustees.</w:t>
      </w:r>
    </w:p>
    <w:p w14:paraId="30E176A6" w14:textId="77777777" w:rsidR="007D520F" w:rsidRDefault="007D520F" w:rsidP="00F64A91">
      <w:pPr>
        <w:pStyle w:val="Heading3"/>
      </w:pPr>
      <w:r>
        <w:t>Volunteers</w:t>
      </w:r>
    </w:p>
    <w:p w14:paraId="549197B1" w14:textId="77777777" w:rsidR="007D520F" w:rsidRDefault="007D520F" w:rsidP="007D520F">
      <w:pPr>
        <w:pStyle w:val="BodyText"/>
      </w:pPr>
      <w:r>
        <w:t>All our Trustees are volunteers. In addition, to help drive forward our ambition for a £1m fundraising appeal in 2021, a Centenary Appeal Board composed of 12 volunteers was recruited in 2019/20.</w:t>
      </w:r>
    </w:p>
    <w:p w14:paraId="11E9F827" w14:textId="72D49E82" w:rsidR="00F64A91" w:rsidRDefault="007D520F" w:rsidP="007D520F">
      <w:pPr>
        <w:pStyle w:val="BodyText"/>
      </w:pPr>
      <w:r>
        <w:t>Across Fundraising and Retail, our 32 volunteers remain a critical part of our infrastructure –providing vital support in our shops, through our community fundraising activities and in our head office.</w:t>
      </w:r>
    </w:p>
    <w:p w14:paraId="606CD794" w14:textId="77777777" w:rsidR="007D520F" w:rsidRPr="00F64A91" w:rsidRDefault="007D520F" w:rsidP="00F64A91">
      <w:pPr>
        <w:pStyle w:val="Heading3"/>
      </w:pPr>
      <w:proofErr w:type="spellStart"/>
      <w:r w:rsidRPr="00F64A91">
        <w:t>Grantmaking</w:t>
      </w:r>
      <w:proofErr w:type="spellEnd"/>
    </w:p>
    <w:p w14:paraId="696591CF" w14:textId="26C63B90" w:rsidR="003A5169" w:rsidRDefault="007D520F" w:rsidP="007D520F">
      <w:pPr>
        <w:pStyle w:val="BodyText"/>
      </w:pPr>
      <w:r>
        <w:t>The Covid-19 Pandemic had a significant effect on our income in 2020/21, and consequently the number and size of grants that we were able to make. However, we were pleased to have been able to make £313,605 in grants to charities and research bodies, and during the year enabled projects which supported an estimated 28,331 people directly. Our research led to the publication of the See My Skills report, with press around the report launch reaching an estimated audience of 2.51m readers.</w:t>
      </w:r>
    </w:p>
    <w:p w14:paraId="1DE7D3B7" w14:textId="77777777" w:rsidR="007D520F" w:rsidRDefault="007D520F" w:rsidP="007D520F">
      <w:pPr>
        <w:pStyle w:val="BodyText"/>
      </w:pPr>
    </w:p>
    <w:tbl>
      <w:tblPr>
        <w:tblW w:w="9636"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61"/>
        <w:gridCol w:w="1280"/>
        <w:gridCol w:w="1844"/>
        <w:gridCol w:w="4251"/>
      </w:tblGrid>
      <w:tr w:rsidR="003A5169" w14:paraId="25101E4E" w14:textId="77777777" w:rsidTr="003A5169">
        <w:trPr>
          <w:trHeight w:val="321"/>
        </w:trPr>
        <w:tc>
          <w:tcPr>
            <w:tcW w:w="2261" w:type="dxa"/>
          </w:tcPr>
          <w:p w14:paraId="58B16E64" w14:textId="77777777" w:rsidR="003A5169" w:rsidRDefault="003A5169" w:rsidP="00330CA2">
            <w:pPr>
              <w:pStyle w:val="TableParagraph"/>
              <w:spacing w:before="29"/>
              <w:ind w:left="107"/>
              <w:rPr>
                <w:rFonts w:ascii="Tahoma"/>
              </w:rPr>
            </w:pPr>
            <w:r>
              <w:rPr>
                <w:rFonts w:ascii="Tahoma"/>
              </w:rPr>
              <w:t>Vision Fund</w:t>
            </w:r>
          </w:p>
        </w:tc>
        <w:tc>
          <w:tcPr>
            <w:tcW w:w="1280" w:type="dxa"/>
          </w:tcPr>
          <w:p w14:paraId="29E4E8F1" w14:textId="77777777" w:rsidR="003A5169" w:rsidRDefault="003A5169" w:rsidP="00330CA2">
            <w:pPr>
              <w:pStyle w:val="TableParagraph"/>
              <w:spacing w:before="29"/>
              <w:ind w:left="108"/>
              <w:rPr>
                <w:rFonts w:ascii="Tahoma" w:hAnsi="Tahoma"/>
              </w:rPr>
            </w:pPr>
            <w:r>
              <w:rPr>
                <w:rFonts w:ascii="Tahoma" w:hAnsi="Tahoma"/>
              </w:rPr>
              <w:t>£260,809</w:t>
            </w:r>
          </w:p>
        </w:tc>
        <w:tc>
          <w:tcPr>
            <w:tcW w:w="1844" w:type="dxa"/>
          </w:tcPr>
          <w:p w14:paraId="4DC92DA2" w14:textId="77777777" w:rsidR="003A5169" w:rsidRDefault="003A5169" w:rsidP="00330CA2">
            <w:pPr>
              <w:pStyle w:val="TableParagraph"/>
              <w:spacing w:before="29"/>
              <w:ind w:left="107"/>
              <w:rPr>
                <w:rFonts w:ascii="Tahoma"/>
              </w:rPr>
            </w:pPr>
            <w:r>
              <w:rPr>
                <w:rFonts w:ascii="Tahoma"/>
              </w:rPr>
              <w:t>To 7 charities</w:t>
            </w:r>
          </w:p>
        </w:tc>
        <w:tc>
          <w:tcPr>
            <w:tcW w:w="4251" w:type="dxa"/>
          </w:tcPr>
          <w:p w14:paraId="39E86FA7" w14:textId="77777777" w:rsidR="003A5169" w:rsidRDefault="003A5169" w:rsidP="00330CA2">
            <w:pPr>
              <w:pStyle w:val="TableParagraph"/>
              <w:spacing w:before="29"/>
              <w:ind w:left="106"/>
              <w:rPr>
                <w:rFonts w:ascii="Tahoma"/>
              </w:rPr>
            </w:pPr>
            <w:r>
              <w:rPr>
                <w:rFonts w:ascii="Tahoma"/>
              </w:rPr>
              <w:t>Vision Fund grants agreed March 2021</w:t>
            </w:r>
          </w:p>
        </w:tc>
      </w:tr>
      <w:tr w:rsidR="003A5169" w14:paraId="6B0ED97C" w14:textId="77777777" w:rsidTr="003A5169">
        <w:trPr>
          <w:trHeight w:val="321"/>
        </w:trPr>
        <w:tc>
          <w:tcPr>
            <w:tcW w:w="2261" w:type="dxa"/>
          </w:tcPr>
          <w:p w14:paraId="7667587F" w14:textId="77777777" w:rsidR="003A5169" w:rsidRDefault="003A5169" w:rsidP="00330CA2">
            <w:pPr>
              <w:pStyle w:val="TableParagraph"/>
              <w:spacing w:before="29"/>
              <w:ind w:left="107"/>
              <w:rPr>
                <w:rFonts w:ascii="Tahoma"/>
              </w:rPr>
            </w:pPr>
            <w:r>
              <w:rPr>
                <w:rFonts w:ascii="Tahoma"/>
              </w:rPr>
              <w:t>London Community Response Fund</w:t>
            </w:r>
          </w:p>
        </w:tc>
        <w:tc>
          <w:tcPr>
            <w:tcW w:w="1280" w:type="dxa"/>
          </w:tcPr>
          <w:p w14:paraId="75BAE8E2" w14:textId="77777777" w:rsidR="003A5169" w:rsidRDefault="003A5169" w:rsidP="00330CA2">
            <w:pPr>
              <w:pStyle w:val="TableParagraph"/>
              <w:spacing w:before="29"/>
              <w:ind w:left="108"/>
              <w:rPr>
                <w:rFonts w:ascii="Tahoma" w:hAnsi="Tahoma"/>
              </w:rPr>
            </w:pPr>
            <w:r>
              <w:rPr>
                <w:rFonts w:ascii="Tahoma" w:hAnsi="Tahoma"/>
              </w:rPr>
              <w:t>£34,390</w:t>
            </w:r>
          </w:p>
        </w:tc>
        <w:tc>
          <w:tcPr>
            <w:tcW w:w="1844" w:type="dxa"/>
          </w:tcPr>
          <w:p w14:paraId="1E8523E9" w14:textId="77777777" w:rsidR="003A5169" w:rsidRDefault="003A5169" w:rsidP="00330CA2">
            <w:pPr>
              <w:pStyle w:val="TableParagraph"/>
              <w:spacing w:before="29"/>
              <w:ind w:left="107"/>
              <w:rPr>
                <w:rFonts w:ascii="Tahoma"/>
              </w:rPr>
            </w:pPr>
            <w:r>
              <w:rPr>
                <w:rFonts w:ascii="Tahoma"/>
              </w:rPr>
              <w:t>To 4 charities</w:t>
            </w:r>
          </w:p>
        </w:tc>
        <w:tc>
          <w:tcPr>
            <w:tcW w:w="4251" w:type="dxa"/>
          </w:tcPr>
          <w:p w14:paraId="74BF5438" w14:textId="77777777" w:rsidR="003A5169" w:rsidRDefault="003A5169" w:rsidP="00330CA2">
            <w:pPr>
              <w:pStyle w:val="TableParagraph"/>
              <w:spacing w:before="29"/>
              <w:ind w:left="106"/>
              <w:rPr>
                <w:rFonts w:ascii="Tahoma"/>
              </w:rPr>
            </w:pPr>
            <w:r>
              <w:rPr>
                <w:rFonts w:ascii="Tahoma"/>
              </w:rPr>
              <w:t>Grants made to applicants during the 20/21 year</w:t>
            </w:r>
          </w:p>
        </w:tc>
      </w:tr>
      <w:tr w:rsidR="003A5169" w14:paraId="405B855C" w14:textId="77777777" w:rsidTr="003A5169">
        <w:trPr>
          <w:trHeight w:val="321"/>
        </w:trPr>
        <w:tc>
          <w:tcPr>
            <w:tcW w:w="2261" w:type="dxa"/>
          </w:tcPr>
          <w:p w14:paraId="33BA4EAD" w14:textId="77777777" w:rsidR="003A5169" w:rsidRDefault="003A5169" w:rsidP="00330CA2">
            <w:pPr>
              <w:pStyle w:val="TableParagraph"/>
              <w:spacing w:before="29"/>
              <w:ind w:left="107"/>
              <w:rPr>
                <w:rFonts w:ascii="Tahoma"/>
              </w:rPr>
            </w:pPr>
            <w:r>
              <w:rPr>
                <w:rFonts w:ascii="Tahoma"/>
              </w:rPr>
              <w:t>Research Grant</w:t>
            </w:r>
          </w:p>
        </w:tc>
        <w:tc>
          <w:tcPr>
            <w:tcW w:w="1280" w:type="dxa"/>
          </w:tcPr>
          <w:p w14:paraId="0D691A98" w14:textId="77777777" w:rsidR="003A5169" w:rsidRDefault="003A5169" w:rsidP="00330CA2">
            <w:pPr>
              <w:pStyle w:val="TableParagraph"/>
              <w:spacing w:before="29"/>
              <w:ind w:left="108"/>
              <w:rPr>
                <w:rFonts w:ascii="Tahoma" w:hAnsi="Tahoma"/>
              </w:rPr>
            </w:pPr>
            <w:r>
              <w:rPr>
                <w:rFonts w:ascii="Tahoma" w:hAnsi="Tahoma"/>
              </w:rPr>
              <w:t>£17,452</w:t>
            </w:r>
          </w:p>
        </w:tc>
        <w:tc>
          <w:tcPr>
            <w:tcW w:w="1844" w:type="dxa"/>
          </w:tcPr>
          <w:p w14:paraId="142DE13C" w14:textId="77777777" w:rsidR="003A5169" w:rsidRDefault="003A5169" w:rsidP="00330CA2">
            <w:pPr>
              <w:pStyle w:val="TableParagraph"/>
              <w:spacing w:before="29"/>
              <w:ind w:left="107"/>
              <w:rPr>
                <w:rFonts w:ascii="Tahoma"/>
              </w:rPr>
            </w:pPr>
            <w:r>
              <w:rPr>
                <w:rFonts w:ascii="Tahoma"/>
              </w:rPr>
              <w:t>To 1 research institute</w:t>
            </w:r>
          </w:p>
        </w:tc>
        <w:tc>
          <w:tcPr>
            <w:tcW w:w="4251" w:type="dxa"/>
          </w:tcPr>
          <w:p w14:paraId="3F266E20" w14:textId="77777777" w:rsidR="003A5169" w:rsidRDefault="003A5169" w:rsidP="00330CA2">
            <w:pPr>
              <w:pStyle w:val="TableParagraph"/>
              <w:spacing w:before="29"/>
              <w:ind w:left="106"/>
              <w:rPr>
                <w:rFonts w:ascii="Tahoma"/>
              </w:rPr>
            </w:pPr>
            <w:r>
              <w:rPr>
                <w:rFonts w:ascii="Tahoma"/>
              </w:rPr>
              <w:t>Funding to the University of Birmingham</w:t>
            </w:r>
          </w:p>
        </w:tc>
      </w:tr>
      <w:tr w:rsidR="003A5169" w14:paraId="2C612CC6" w14:textId="77777777" w:rsidTr="003A5169">
        <w:trPr>
          <w:trHeight w:val="321"/>
        </w:trPr>
        <w:tc>
          <w:tcPr>
            <w:tcW w:w="2261" w:type="dxa"/>
          </w:tcPr>
          <w:p w14:paraId="1217FC0E" w14:textId="77777777" w:rsidR="003A5169" w:rsidRDefault="003A5169" w:rsidP="00330CA2">
            <w:pPr>
              <w:pStyle w:val="TableParagraph"/>
              <w:spacing w:before="29"/>
              <w:ind w:left="107"/>
              <w:rPr>
                <w:rFonts w:ascii="Tahoma"/>
              </w:rPr>
            </w:pPr>
            <w:r>
              <w:rPr>
                <w:rFonts w:ascii="Tahoma"/>
              </w:rPr>
              <w:t>Other Grants</w:t>
            </w:r>
          </w:p>
        </w:tc>
        <w:tc>
          <w:tcPr>
            <w:tcW w:w="1280" w:type="dxa"/>
          </w:tcPr>
          <w:p w14:paraId="3D2D7290" w14:textId="77777777" w:rsidR="003A5169" w:rsidRDefault="003A5169" w:rsidP="00330CA2">
            <w:pPr>
              <w:pStyle w:val="TableParagraph"/>
              <w:spacing w:before="29"/>
              <w:ind w:left="108"/>
              <w:rPr>
                <w:rFonts w:ascii="Tahoma" w:hAnsi="Tahoma"/>
              </w:rPr>
            </w:pPr>
            <w:r>
              <w:rPr>
                <w:rFonts w:ascii="Tahoma" w:hAnsi="Tahoma"/>
              </w:rPr>
              <w:t>£954</w:t>
            </w:r>
          </w:p>
        </w:tc>
        <w:tc>
          <w:tcPr>
            <w:tcW w:w="1844" w:type="dxa"/>
          </w:tcPr>
          <w:p w14:paraId="1390D11C" w14:textId="77777777" w:rsidR="003A5169" w:rsidRDefault="003A5169" w:rsidP="00330CA2">
            <w:pPr>
              <w:pStyle w:val="TableParagraph"/>
              <w:spacing w:before="29"/>
              <w:ind w:left="107"/>
              <w:rPr>
                <w:rFonts w:ascii="Tahoma"/>
              </w:rPr>
            </w:pPr>
            <w:r>
              <w:rPr>
                <w:rFonts w:ascii="Tahoma"/>
              </w:rPr>
              <w:t>To 2 charities</w:t>
            </w:r>
          </w:p>
        </w:tc>
        <w:tc>
          <w:tcPr>
            <w:tcW w:w="4251" w:type="dxa"/>
          </w:tcPr>
          <w:p w14:paraId="35B2EDFF" w14:textId="77777777" w:rsidR="003A5169" w:rsidRDefault="003A5169" w:rsidP="00330CA2">
            <w:pPr>
              <w:pStyle w:val="TableParagraph"/>
              <w:spacing w:before="29"/>
              <w:ind w:left="106"/>
              <w:rPr>
                <w:rFonts w:ascii="Tahoma"/>
              </w:rPr>
            </w:pPr>
            <w:r>
              <w:rPr>
                <w:rFonts w:ascii="Tahoma"/>
              </w:rPr>
              <w:t>Donation of technology</w:t>
            </w:r>
          </w:p>
        </w:tc>
      </w:tr>
    </w:tbl>
    <w:p w14:paraId="6E47EF3A" w14:textId="77777777" w:rsidR="003A5169" w:rsidRDefault="003A5169" w:rsidP="00A67720"/>
    <w:p w14:paraId="06F1703B" w14:textId="77777777" w:rsidR="00F64A91" w:rsidRPr="00F64A91" w:rsidRDefault="00F64A91" w:rsidP="00F64A91">
      <w:pPr>
        <w:pStyle w:val="BodyText"/>
      </w:pPr>
      <w:r w:rsidRPr="00F64A91">
        <w:t xml:space="preserve">We were also early signatories to the Funder Statement on Covid-19 Pandemic, coordinated by London Funders, and this allowed our grantees from both 2019/20 and 2020/21 to delay or adapt their projects in response to the pandemic. Including projects funded in previous years, in 2020/21 we had 34 active projects across 29 charities taking place, totalling £1,452,444 worth of active grants. </w:t>
      </w:r>
    </w:p>
    <w:p w14:paraId="776B391C" w14:textId="77777777" w:rsidR="00F64A91" w:rsidRPr="00F64A91" w:rsidRDefault="00F64A91" w:rsidP="00F64A91">
      <w:pPr>
        <w:pStyle w:val="BodyText"/>
      </w:pPr>
      <w:r w:rsidRPr="00F64A91">
        <w:t xml:space="preserve">2019/20 was a significant transitional year for </w:t>
      </w:r>
      <w:proofErr w:type="spellStart"/>
      <w:r w:rsidRPr="00F64A91">
        <w:t>grantmaking</w:t>
      </w:r>
      <w:proofErr w:type="spellEnd"/>
      <w:r w:rsidRPr="00F64A91">
        <w:t xml:space="preserve"> as we began to adapt our approach away from a membership structure and towards a professional impact and needs-led grant-maker. In 2020/21 we were able to put in place many of the structures required to </w:t>
      </w:r>
      <w:r w:rsidRPr="00F64A91">
        <w:lastRenderedPageBreak/>
        <w:t xml:space="preserve">achieve our aims, including the appointment of a Grants and Impact Advisory Committee so that our funding decisions are fair, transparent, and guided by expert advice and the installation of an accessible </w:t>
      </w:r>
      <w:proofErr w:type="spellStart"/>
      <w:r w:rsidRPr="00F64A91">
        <w:t>grantmaking</w:t>
      </w:r>
      <w:proofErr w:type="spellEnd"/>
      <w:r w:rsidRPr="00F64A91">
        <w:t xml:space="preserve"> database (Salesforce) to support our monitoring, </w:t>
      </w:r>
      <w:proofErr w:type="gramStart"/>
      <w:r w:rsidRPr="00F64A91">
        <w:t>evaluation</w:t>
      </w:r>
      <w:proofErr w:type="gramEnd"/>
      <w:r w:rsidRPr="00F64A91">
        <w:t xml:space="preserve"> and impact measurement capabilities. </w:t>
      </w:r>
    </w:p>
    <w:p w14:paraId="677AD16B" w14:textId="77777777" w:rsidR="00F64A91" w:rsidRPr="00F64A91" w:rsidRDefault="00F64A91" w:rsidP="00F64A91">
      <w:pPr>
        <w:pStyle w:val="BodyText"/>
      </w:pPr>
      <w:r w:rsidRPr="00F64A91">
        <w:t>We also further developed our Funder Plus offering so that we can be as impactful as possible with the resources available to us, and three sessions were delivered in 2020/21 to 20 charities, alongside ad hoc support (</w:t>
      </w:r>
      <w:proofErr w:type="gramStart"/>
      <w:r w:rsidRPr="00F64A91">
        <w:t>e.g.</w:t>
      </w:r>
      <w:proofErr w:type="gramEnd"/>
      <w:r w:rsidRPr="00F64A91">
        <w:t xml:space="preserve"> funding applications, branding guidance, recruitment support) through which we reached further charities.</w:t>
      </w:r>
    </w:p>
    <w:p w14:paraId="6DC0E596" w14:textId="77777777" w:rsidR="00F64A91" w:rsidRPr="00F64A91" w:rsidRDefault="00F64A91" w:rsidP="00F64A91">
      <w:pPr>
        <w:pStyle w:val="BodyText"/>
      </w:pPr>
    </w:p>
    <w:p w14:paraId="1C34A507" w14:textId="77777777" w:rsidR="00F64A91" w:rsidRPr="00F64A91" w:rsidRDefault="00F64A91" w:rsidP="00F64A91">
      <w:pPr>
        <w:pStyle w:val="BodyText"/>
      </w:pPr>
    </w:p>
    <w:p w14:paraId="2AABC8FF" w14:textId="77777777" w:rsidR="00F64A91" w:rsidRPr="00F64A91" w:rsidRDefault="00F64A91" w:rsidP="00F64A91">
      <w:pPr>
        <w:pStyle w:val="BodyText"/>
      </w:pPr>
      <w:r w:rsidRPr="00F64A91">
        <w:t xml:space="preserve">As we move forward through 2021/22, the Covid-19 Pandemic continues to take a heavy toll on the charity sector’s finances, and we anticipate that our Vision Fund will be in more demand than ever before. With this increased competition in mind, we will focus on our assessment processes to ensure our funding decisions are impact driven and based on rigorous review while remaining fair and transparent. </w:t>
      </w:r>
    </w:p>
    <w:p w14:paraId="1B4AB51B" w14:textId="77777777" w:rsidR="00F64A91" w:rsidRPr="00F64A91" w:rsidRDefault="00F64A91" w:rsidP="00F64A91">
      <w:pPr>
        <w:pStyle w:val="BodyText"/>
      </w:pPr>
      <w:r w:rsidRPr="00F64A91">
        <w:t xml:space="preserve">In February 2021 we publicly launched our Centenary Appeal focussed on sight loss unemployment, and that same month commissioned research to understand the barriers and effective interventions. Based on the findings of this research, and using the funds raised through the Centenary Appeal, in July 2021 we have launched a new Vision Fund with a large focus on employment projects, helping to capitalise on the changes to working norms created by the pandemic, and hoping to mitigate some of the likely increases in unemployment rates for visually impaired people given a more challenging jobs environment post-pandemic. </w:t>
      </w:r>
    </w:p>
    <w:p w14:paraId="46B36FE4" w14:textId="77777777" w:rsidR="00A27AEA" w:rsidRDefault="00A27AEA" w:rsidP="00A27AEA"/>
    <w:p w14:paraId="5EE2D395" w14:textId="77777777" w:rsidR="00A27AEA" w:rsidRPr="00A27AEA" w:rsidRDefault="00A27AEA" w:rsidP="00A27AEA"/>
    <w:p w14:paraId="31DD62DA" w14:textId="61D1D6DD" w:rsidR="003A5169" w:rsidRDefault="00A67720" w:rsidP="00F64A91">
      <w:pPr>
        <w:pStyle w:val="Heading2"/>
      </w:pPr>
      <w:bookmarkStart w:id="11" w:name="_Toc87614377"/>
      <w:r w:rsidRPr="00435EF5">
        <w:t>Achievements and Performance</w:t>
      </w:r>
      <w:bookmarkEnd w:id="11"/>
    </w:p>
    <w:p w14:paraId="63E14C6F" w14:textId="77777777" w:rsidR="00F64A91" w:rsidRDefault="00F64A91" w:rsidP="00F64A91">
      <w:pPr>
        <w:pStyle w:val="Heading3"/>
      </w:pPr>
      <w:r>
        <w:t>Context</w:t>
      </w:r>
    </w:p>
    <w:p w14:paraId="553E3981" w14:textId="77777777" w:rsidR="00F64A91" w:rsidRDefault="00F64A91" w:rsidP="00F64A91">
      <w:pPr>
        <w:pStyle w:val="BodyText"/>
      </w:pPr>
      <w:r>
        <w:t xml:space="preserve">The Covid-19 Pandemic is an unparalleled situation that has both divided and united our communities. Lockdown and social distancing rules created physical divisions and multiple challenges for blind and partially sighted people. For the charities that work with them, including the Vision Foundation, demand for services has been higher than ever, while funding from many sources – including individuals, community, </w:t>
      </w:r>
      <w:proofErr w:type="gramStart"/>
      <w:r>
        <w:t>corporates</w:t>
      </w:r>
      <w:proofErr w:type="gramEnd"/>
      <w:r>
        <w:t xml:space="preserve"> and events, has been more stretched than ever. </w:t>
      </w:r>
    </w:p>
    <w:p w14:paraId="4F30FB61" w14:textId="77777777" w:rsidR="00F64A91" w:rsidRDefault="00F64A91" w:rsidP="00F64A91">
      <w:pPr>
        <w:pStyle w:val="BodyText"/>
      </w:pPr>
      <w:r>
        <w:t xml:space="preserve">Despite the backdrop of a challenging year, this remains a very exciting time for the Vision Foundation. We have just finished the second year of our </w:t>
      </w:r>
      <w:proofErr w:type="gramStart"/>
      <w:r>
        <w:t>five year</w:t>
      </w:r>
      <w:proofErr w:type="gramEnd"/>
      <w:r>
        <w:t xml:space="preserve"> strategic plan and are on track to meet or exceed our key objectives. We have continued to further our aims across our three strategic priorities:</w:t>
      </w:r>
    </w:p>
    <w:p w14:paraId="25289933" w14:textId="77777777" w:rsidR="00F64A91" w:rsidRPr="00F64A91" w:rsidRDefault="00F64A91" w:rsidP="00F64A91">
      <w:pPr>
        <w:pStyle w:val="List"/>
      </w:pPr>
      <w:r w:rsidRPr="00F64A91">
        <w:rPr>
          <w:b/>
          <w:bCs/>
        </w:rPr>
        <w:t>Opening London Up:</w:t>
      </w:r>
      <w:r w:rsidRPr="00F64A91">
        <w:t xml:space="preserve"> ensuring that blind and partially sighted people have equal access to the cultural, social and employment opportunities of London.</w:t>
      </w:r>
    </w:p>
    <w:p w14:paraId="2189EEA7" w14:textId="77777777" w:rsidR="00F64A91" w:rsidRPr="00F64A91" w:rsidRDefault="00F64A91" w:rsidP="00F64A91">
      <w:pPr>
        <w:pStyle w:val="List"/>
      </w:pPr>
      <w:r w:rsidRPr="00F64A91">
        <w:rPr>
          <w:b/>
          <w:bCs/>
        </w:rPr>
        <w:t>Empowering Those at Risk:</w:t>
      </w:r>
      <w:r w:rsidRPr="00F64A91">
        <w:t xml:space="preserve"> ensuring that services meet the needs of those who may be doubly disadvantaged by sight loss and additional factors, such as those living in poverty or facing domestic violence.</w:t>
      </w:r>
    </w:p>
    <w:p w14:paraId="43954E31" w14:textId="77777777" w:rsidR="00F64A91" w:rsidRPr="00F64A91" w:rsidRDefault="00F64A91" w:rsidP="00F64A91">
      <w:pPr>
        <w:pStyle w:val="List"/>
      </w:pPr>
      <w:r w:rsidRPr="00F64A91">
        <w:rPr>
          <w:b/>
          <w:bCs/>
        </w:rPr>
        <w:t>Preventing Avoidable Blindness:</w:t>
      </w:r>
      <w:r w:rsidRPr="00F64A91">
        <w:t xml:space="preserve"> addressing the 50% of UK sight loss which is </w:t>
      </w:r>
      <w:r w:rsidRPr="00F64A91">
        <w:lastRenderedPageBreak/>
        <w:t>preventable, but not necessarily treatable.</w:t>
      </w:r>
    </w:p>
    <w:p w14:paraId="2F293669" w14:textId="77777777" w:rsidR="00F64A91" w:rsidRDefault="00F64A91" w:rsidP="00F64A91">
      <w:pPr>
        <w:pStyle w:val="BodyText"/>
      </w:pPr>
    </w:p>
    <w:p w14:paraId="51E57941" w14:textId="1242FE7A" w:rsidR="00F64A91" w:rsidRDefault="00F64A91" w:rsidP="00F64A91">
      <w:pPr>
        <w:pStyle w:val="BodyText"/>
      </w:pPr>
      <w:r>
        <w:t xml:space="preserve">We have a refreshed Board and leadership team, a clear growth plan and a commitment to work strategically with our grantees and others in the sight loss sector to effect change. 2020/21 marked the second year of our 2019-24 Strategic Plan and while income did not build as planned on our excellent 2019/20 results, we used the year to invest time and energy in our foundations for growth, and we quickly adapted our activities to deliver impact for our sector. </w:t>
      </w:r>
    </w:p>
    <w:p w14:paraId="4490DAF2" w14:textId="77777777" w:rsidR="00F64A91" w:rsidRDefault="00F64A91" w:rsidP="00F64A91">
      <w:pPr>
        <w:pStyle w:val="BodyText"/>
        <w:rPr>
          <w:b/>
          <w:bCs/>
          <w:color w:val="344998"/>
          <w:sz w:val="28"/>
          <w:szCs w:val="28"/>
        </w:rPr>
      </w:pPr>
    </w:p>
    <w:p w14:paraId="042C609E" w14:textId="77777777" w:rsidR="00F64A91" w:rsidRPr="00F64A91" w:rsidRDefault="00F64A91" w:rsidP="00F64A91">
      <w:pPr>
        <w:pStyle w:val="Heading3"/>
      </w:pPr>
      <w:r w:rsidRPr="00F64A91">
        <w:t>Financial support</w:t>
      </w:r>
    </w:p>
    <w:p w14:paraId="0562B9D0" w14:textId="6454B4DD" w:rsidR="00F64A91" w:rsidRDefault="00F64A91" w:rsidP="00F64A91">
      <w:pPr>
        <w:pStyle w:val="BodyText"/>
      </w:pPr>
      <w:r>
        <w:t xml:space="preserve">We are proud to have collaborated with London Funders and more than 60 organisations on the London Community Response Fund through the provision of expert advice and the commitment of funding. Our grants tackled isolation and the rise of unemployment caused by the pandemic. We were also early signatories to the Funder Statement on Covid-19 allowing adaptions or delays to funded projects and promising to listen to the needs and concerns of our partner charities. </w:t>
      </w:r>
      <w:proofErr w:type="gramStart"/>
      <w:r>
        <w:t>A number of</w:t>
      </w:r>
      <w:proofErr w:type="gramEnd"/>
      <w:r>
        <w:t xml:space="preserve"> our former member organisations have also fed back that without our transition grants in 2019/20, they would not have survived the pandemic. </w:t>
      </w:r>
    </w:p>
    <w:p w14:paraId="377F0FFE" w14:textId="77777777" w:rsidR="00F64A91" w:rsidRPr="00F64A91" w:rsidRDefault="00F64A91" w:rsidP="00F64A91">
      <w:pPr>
        <w:pStyle w:val="Heading3"/>
      </w:pPr>
      <w:r w:rsidRPr="00F64A91">
        <w:t xml:space="preserve">Funder Plus </w:t>
      </w:r>
    </w:p>
    <w:p w14:paraId="20955C4A" w14:textId="77777777" w:rsidR="00F64A91" w:rsidRDefault="00F64A91" w:rsidP="00F64A91">
      <w:pPr>
        <w:pStyle w:val="BodyText"/>
      </w:pPr>
      <w:r>
        <w:t xml:space="preserve">We made a range of resources and information available to sight loss organisations through our website and delivered the first in a series of webinars, focusing on how sight loss organisations can navigate the post-Covid world. </w:t>
      </w:r>
    </w:p>
    <w:p w14:paraId="7D7584D8" w14:textId="20AB6ABD" w:rsidR="00F64A91" w:rsidRDefault="00F64A91" w:rsidP="00F64A91">
      <w:pPr>
        <w:pStyle w:val="BodyText"/>
      </w:pPr>
      <w:r>
        <w:t xml:space="preserve">We also offered free fundraising and income generation information, </w:t>
      </w:r>
      <w:proofErr w:type="gramStart"/>
      <w:r>
        <w:t>ideas</w:t>
      </w:r>
      <w:proofErr w:type="gramEnd"/>
      <w:r>
        <w:t xml:space="preserve"> and hands-on support for small local charities with limited resources to ensure they could access emergency funding opportunities.</w:t>
      </w:r>
    </w:p>
    <w:p w14:paraId="207642F0" w14:textId="77777777" w:rsidR="00F64A91" w:rsidRDefault="00F64A91" w:rsidP="00F64A91">
      <w:pPr>
        <w:pStyle w:val="Heading3"/>
      </w:pPr>
      <w:r>
        <w:t>Campaigns and advocacy</w:t>
      </w:r>
    </w:p>
    <w:p w14:paraId="73F2BD63" w14:textId="77777777" w:rsidR="00F64A91" w:rsidRDefault="00F64A91" w:rsidP="00F64A91">
      <w:pPr>
        <w:pStyle w:val="BodyText"/>
      </w:pPr>
      <w:r>
        <w:t>With blind and partially sighted people disproportionately affected by the Covid-19 Pandemic, due to social distancing measures and restrictions on shopping and buying food, we worked to amplify voices by sharing stories of life during lockdown. Our social media campaign #BlindLockdownLife used personal testimonies and powerful, emotional videos to illustrate the practical day-to-day experiences of blind and partially sighted people and was shortlisted as a finalist for the 2020 Third Sector Awards 2020. With celebrity endorsements from Philip Schofield, Matthew Wright and Stephen Fry we saw significant engagement across social and mainstream media.</w:t>
      </w:r>
    </w:p>
    <w:p w14:paraId="425874C1" w14:textId="77777777" w:rsidR="00F64A91" w:rsidRDefault="00F64A91" w:rsidP="00F64A91">
      <w:pPr>
        <w:pStyle w:val="BodyText"/>
      </w:pPr>
      <w:r>
        <w:t xml:space="preserve">In November 2020, we held our first “in conversation” event, a virtual discussion with our newest Vice President, Lord David Blunkett. The event was crafted to myth-bust around what is possible for blind and partially sighted professionals and was also an opportunity to look back on an inspiring career. </w:t>
      </w:r>
    </w:p>
    <w:p w14:paraId="1B0CA5D6" w14:textId="6B2A9013" w:rsidR="00F64A91" w:rsidRDefault="00F64A91" w:rsidP="00F64A91">
      <w:pPr>
        <w:pStyle w:val="BodyText"/>
      </w:pPr>
      <w:r>
        <w:t xml:space="preserve">In February 2021, to publicly launch our Centenary Appeal, we held a virtual event – Taking Centre Stage: Sight Loss in the Spotlight. Hosted by Stephen Fry, and with participation from Dame Judi Dench, Hayley Mills and Juliet Mills, the event explored the life and career of our late President Sir John Mills, who continued in his successful acting career throughout his </w:t>
      </w:r>
      <w:r>
        <w:lastRenderedPageBreak/>
        <w:t>devastating sight loss. Our guests shared stories of working with Sir John, and Dame Judi reflected on her own sight loss and how it has impacted her work as an actor. The celebrities met a young visually impaired actress, Eleanor Stollery, who has already achieved great success as a stage and voice actor aged just 9-years-old. Overall, the event attracted over 1,000 online guests, was tweeted to over 12 million followers, and the 46 pieces of media coverage received enjoyed 10.1k social media shares, and estimated coverage views of 2.5 million.</w:t>
      </w:r>
    </w:p>
    <w:p w14:paraId="4F42C341" w14:textId="77777777" w:rsidR="00F64A91" w:rsidRDefault="00F64A91" w:rsidP="00F64A91">
      <w:pPr>
        <w:pStyle w:val="Heading3"/>
      </w:pPr>
      <w:r>
        <w:t>Research</w:t>
      </w:r>
    </w:p>
    <w:p w14:paraId="4F497D83" w14:textId="77777777" w:rsidR="00F64A91" w:rsidRDefault="00F64A91" w:rsidP="00F64A91">
      <w:pPr>
        <w:pStyle w:val="BodyText"/>
      </w:pPr>
      <w:r>
        <w:t>As London went into lockdown, we launched a research project to ensure we targeted our work appropriately to support London’s sight loss communities. Between 30 March and 12 April 2020, just one week into the UK Government lockdown, we contacted 19 organisations that provide support to blind and partially sighted people in London and carried out 10 in-depth interviews with visually impaired people, aged between 25 and 80. The briefing paper we produced brought together the experiences of those individuals and documented how the sight loss sector was adapting its work to support the visually impaired community. We publicised this research through our digital #BlindLockdownLife campaign.</w:t>
      </w:r>
    </w:p>
    <w:p w14:paraId="5160EFD1" w14:textId="77777777" w:rsidR="00F64A91" w:rsidRDefault="00F64A91" w:rsidP="00F64A91">
      <w:pPr>
        <w:pStyle w:val="BodyText"/>
      </w:pPr>
    </w:p>
    <w:p w14:paraId="516DFC9F" w14:textId="4A2CBD04" w:rsidR="00F64A91" w:rsidRDefault="00F64A91" w:rsidP="00F64A91">
      <w:pPr>
        <w:pStyle w:val="BodyText"/>
      </w:pPr>
      <w:r>
        <w:t xml:space="preserve">In February 2021, we commissioned important employment research from the University of Birmingham to guide our work in improving the employment outcomes of blind and partially sighted people. This research was published in July 2021 to raise awareness, influence policy, and drive our own funding priorities. </w:t>
      </w:r>
    </w:p>
    <w:p w14:paraId="03814093" w14:textId="77777777" w:rsidR="00F64A91" w:rsidRDefault="00F64A91" w:rsidP="00F64A91">
      <w:pPr>
        <w:pStyle w:val="Heading3"/>
      </w:pPr>
      <w:r>
        <w:t>Awards</w:t>
      </w:r>
    </w:p>
    <w:p w14:paraId="1096EE98" w14:textId="77777777" w:rsidR="00F64A91" w:rsidRPr="00F64A91" w:rsidRDefault="00F64A91" w:rsidP="00F64A91">
      <w:pPr>
        <w:pStyle w:val="List"/>
      </w:pPr>
      <w:r w:rsidRPr="00F64A91">
        <w:t>We were delighted to be finalists or winners of six awards in 2020:</w:t>
      </w:r>
    </w:p>
    <w:p w14:paraId="094BF0A0" w14:textId="77777777" w:rsidR="00F64A91" w:rsidRPr="00F64A91" w:rsidRDefault="00F64A91" w:rsidP="00F64A91">
      <w:pPr>
        <w:pStyle w:val="List"/>
      </w:pPr>
      <w:r w:rsidRPr="00F64A91">
        <w:t>We won the UK 2020 Directory of Social Change Awards – Great Giving Award in recognition of our positive impact on society and in particular our capacity-building approach.</w:t>
      </w:r>
    </w:p>
    <w:p w14:paraId="415ACE77" w14:textId="77777777" w:rsidR="00F64A91" w:rsidRPr="00F64A91" w:rsidRDefault="00F64A91" w:rsidP="00F64A91">
      <w:pPr>
        <w:pStyle w:val="List"/>
      </w:pPr>
      <w:r w:rsidRPr="00F64A91">
        <w:t>Our CEO, Olivia Curno, won the Charity Times Rising Leader of the Year award. Olivia was also shortlisted for the Third Sector Excellence Awards – Rising Chief Executive.</w:t>
      </w:r>
    </w:p>
    <w:p w14:paraId="53AF88BD" w14:textId="77777777" w:rsidR="00F64A91" w:rsidRPr="00F64A91" w:rsidRDefault="00F64A91" w:rsidP="00F64A91">
      <w:pPr>
        <w:pStyle w:val="List"/>
      </w:pPr>
      <w:r w:rsidRPr="00F64A91">
        <w:t xml:space="preserve">Our social media campaign #BlindLockdownLife was shortlisted for the Third Sector Excellence Awards for the Breakthrough of the Year award. </w:t>
      </w:r>
    </w:p>
    <w:p w14:paraId="101DAEE1" w14:textId="77777777" w:rsidR="00F64A91" w:rsidRPr="00F64A91" w:rsidRDefault="00F64A91" w:rsidP="00F64A91">
      <w:pPr>
        <w:pStyle w:val="List"/>
      </w:pPr>
      <w:r w:rsidRPr="00F64A91">
        <w:t>We were shortlisted in the National Fundraising Awards 2020 – Best Supporter Experience category, for our work on the London Marathon with Team Vision.</w:t>
      </w:r>
    </w:p>
    <w:p w14:paraId="5DCA96A6" w14:textId="77777777" w:rsidR="00F64A91" w:rsidRPr="00F64A91" w:rsidRDefault="00F64A91" w:rsidP="00F64A91">
      <w:pPr>
        <w:pStyle w:val="List"/>
      </w:pPr>
      <w:r w:rsidRPr="00F64A91">
        <w:t>We were shortlisted by the Charity Times for the Change Project of the Year award.</w:t>
      </w:r>
    </w:p>
    <w:p w14:paraId="40023EE3" w14:textId="77777777" w:rsidR="00F64A91" w:rsidRDefault="00F64A91" w:rsidP="00F64A91">
      <w:pPr>
        <w:pStyle w:val="BodyText"/>
        <w:rPr>
          <w:b/>
          <w:bCs/>
          <w:color w:val="344998"/>
          <w:sz w:val="28"/>
          <w:szCs w:val="28"/>
        </w:rPr>
      </w:pPr>
    </w:p>
    <w:p w14:paraId="3133697A" w14:textId="77777777" w:rsidR="00F64A91" w:rsidRDefault="00F64A91" w:rsidP="00F64A91">
      <w:pPr>
        <w:pStyle w:val="Heading3"/>
      </w:pPr>
      <w:r>
        <w:t>Covid-19 Pandemic</w:t>
      </w:r>
    </w:p>
    <w:p w14:paraId="1C622D16" w14:textId="77777777" w:rsidR="00F64A91" w:rsidRPr="00F64A91" w:rsidRDefault="00F64A91" w:rsidP="00F64A91">
      <w:pPr>
        <w:pStyle w:val="BodyText"/>
      </w:pPr>
      <w:r w:rsidRPr="00F64A91">
        <w:t xml:space="preserve">During 2020/21, we had to respond in the moment to the challenges presented by the pandemic (moving to home working, closing shops, furloughing staff, supporting staff through change) while “keeping the show on the road” as far as we could, and having an eye to the future – thinking about how best we could ensure that the charity is resilient and sustainable for the future. All this at a point when we expected to be pushing forward on our strategy, growing our </w:t>
      </w:r>
      <w:proofErr w:type="gramStart"/>
      <w:r w:rsidRPr="00F64A91">
        <w:t>income</w:t>
      </w:r>
      <w:proofErr w:type="gramEnd"/>
      <w:r w:rsidRPr="00F64A91">
        <w:t xml:space="preserve"> and increasing the difference we can make for blind and partially sighted Londoners.</w:t>
      </w:r>
    </w:p>
    <w:p w14:paraId="31163B39" w14:textId="7D686E91" w:rsidR="00A27AEA" w:rsidRPr="00F64A91" w:rsidRDefault="00F64A91" w:rsidP="00F64A91">
      <w:pPr>
        <w:pStyle w:val="BodyText"/>
      </w:pPr>
      <w:r w:rsidRPr="00F64A91">
        <w:lastRenderedPageBreak/>
        <w:t xml:space="preserve">In addition, our leadership team went through change with the CEO on maternity leave and an interim CEO in place. We also recruited three new directors into the team (Directors of Grants and Impact, Finance and Resources, and Retail). It is an immense tribute to the Board, the executive leadership </w:t>
      </w:r>
      <w:proofErr w:type="gramStart"/>
      <w:r w:rsidRPr="00F64A91">
        <w:t>team</w:t>
      </w:r>
      <w:proofErr w:type="gramEnd"/>
      <w:r w:rsidRPr="00F64A91">
        <w:t xml:space="preserve"> and the whole staff team the extent to which we were able to maintain progress. This is in no small part due to the focus we all have on why we are here – to make a difference for blind and partially sighted people in London.</w:t>
      </w:r>
    </w:p>
    <w:p w14:paraId="1ABB686A" w14:textId="77777777" w:rsidR="00F64A91" w:rsidRDefault="00F64A91" w:rsidP="00F64A91">
      <w:pPr>
        <w:pStyle w:val="Heading2"/>
      </w:pPr>
      <w:bookmarkStart w:id="12" w:name="_Toc87614378"/>
    </w:p>
    <w:p w14:paraId="24C770E6" w14:textId="77777777" w:rsidR="00F64A91" w:rsidRDefault="00F64A91">
      <w:pPr>
        <w:widowControl/>
        <w:autoSpaceDE/>
        <w:autoSpaceDN/>
        <w:rPr>
          <w:rFonts w:eastAsiaTheme="majorEastAsia" w:cstheme="majorBidi"/>
          <w:color w:val="4565AE"/>
          <w:sz w:val="32"/>
          <w:szCs w:val="26"/>
        </w:rPr>
      </w:pPr>
      <w:r>
        <w:br w:type="page"/>
      </w:r>
    </w:p>
    <w:p w14:paraId="596E35AC" w14:textId="22A165B4" w:rsidR="00A67720" w:rsidRPr="00546CE5" w:rsidRDefault="00A67720" w:rsidP="00F64A91">
      <w:pPr>
        <w:pStyle w:val="Heading2"/>
      </w:pPr>
      <w:r w:rsidRPr="00546CE5">
        <w:lastRenderedPageBreak/>
        <w:t>Income</w:t>
      </w:r>
      <w:bookmarkEnd w:id="12"/>
    </w:p>
    <w:p w14:paraId="6FF32EF8" w14:textId="77777777" w:rsidR="003230D4" w:rsidRDefault="003230D4" w:rsidP="00A67720"/>
    <w:p w14:paraId="0284A7BC" w14:textId="77777777" w:rsidR="00C654F7" w:rsidRDefault="00C654F7" w:rsidP="00C654F7">
      <w:pPr>
        <w:pStyle w:val="BodyText"/>
      </w:pPr>
      <w:r>
        <w:t xml:space="preserve">In the previous year (2019/20), income grew much faster than projected, 78% in one year, from £1.8m in 2018/19 to £3.2m in 2019/20. Our current growth rate has been diminished by the Covid-19 Pandemic and we ended this financial year at £2.6m (income plus investment gain) </w:t>
      </w:r>
      <w:proofErr w:type="gramStart"/>
      <w:r>
        <w:t>in light of</w:t>
      </w:r>
      <w:proofErr w:type="gramEnd"/>
      <w:r>
        <w:t xml:space="preserve"> the pandemic’s impact on both retail and fundraised income.</w:t>
      </w:r>
    </w:p>
    <w:p w14:paraId="36238F6B" w14:textId="77777777" w:rsidR="00C654F7" w:rsidRDefault="00C654F7" w:rsidP="00C654F7">
      <w:pPr>
        <w:pStyle w:val="BodyText"/>
      </w:pPr>
      <w:r>
        <w:t xml:space="preserve">Year on year comparison with 2019/20: </w:t>
      </w:r>
    </w:p>
    <w:p w14:paraId="0D41D797" w14:textId="77777777" w:rsidR="00C654F7" w:rsidRPr="00C654F7" w:rsidRDefault="00C654F7" w:rsidP="00C654F7">
      <w:pPr>
        <w:pStyle w:val="List"/>
      </w:pPr>
      <w:r w:rsidRPr="00C654F7">
        <w:t xml:space="preserve">Retail: a 38% decrease in trading income, due to 36 weeks of shop closures. </w:t>
      </w:r>
    </w:p>
    <w:p w14:paraId="31F86C8F" w14:textId="77777777" w:rsidR="00C654F7" w:rsidRPr="00C654F7" w:rsidRDefault="00C654F7" w:rsidP="00C654F7">
      <w:pPr>
        <w:pStyle w:val="List"/>
      </w:pPr>
      <w:r w:rsidRPr="00C654F7">
        <w:t>High value partnerships: a 120% increase in income from corporate and trust donations.</w:t>
      </w:r>
    </w:p>
    <w:p w14:paraId="22698657" w14:textId="77777777" w:rsidR="00C654F7" w:rsidRPr="00C654F7" w:rsidRDefault="00C654F7" w:rsidP="00C654F7">
      <w:pPr>
        <w:pStyle w:val="List"/>
      </w:pPr>
      <w:r w:rsidRPr="00C654F7">
        <w:t xml:space="preserve">Donations: a 22% decrease in donations from individuals. </w:t>
      </w:r>
    </w:p>
    <w:p w14:paraId="455369A8" w14:textId="77777777" w:rsidR="00C654F7" w:rsidRPr="00C654F7" w:rsidRDefault="00C654F7" w:rsidP="00C654F7">
      <w:pPr>
        <w:pStyle w:val="List"/>
      </w:pPr>
      <w:r w:rsidRPr="00C654F7">
        <w:t>Events: a 34% decrease in challenge and special event income events.</w:t>
      </w:r>
    </w:p>
    <w:p w14:paraId="2C0938C2" w14:textId="77777777" w:rsidR="00C654F7" w:rsidRPr="00C654F7" w:rsidRDefault="00C654F7" w:rsidP="00C654F7">
      <w:pPr>
        <w:pStyle w:val="List"/>
      </w:pPr>
      <w:r w:rsidRPr="00C654F7">
        <w:t>Legacies: a 48% decrease in legacy income.</w:t>
      </w:r>
    </w:p>
    <w:p w14:paraId="78D34570" w14:textId="77777777" w:rsidR="00C654F7" w:rsidRDefault="00C654F7" w:rsidP="00C654F7">
      <w:pPr>
        <w:pStyle w:val="BodyText"/>
      </w:pPr>
    </w:p>
    <w:p w14:paraId="5C1BC728" w14:textId="77777777" w:rsidR="00C654F7" w:rsidRDefault="00C654F7" w:rsidP="00C654F7">
      <w:pPr>
        <w:pStyle w:val="Heading3"/>
      </w:pPr>
      <w:r>
        <w:t>Fundraising</w:t>
      </w:r>
    </w:p>
    <w:p w14:paraId="30B431E8" w14:textId="77777777" w:rsidR="00C654F7" w:rsidRDefault="00C654F7" w:rsidP="00C654F7">
      <w:pPr>
        <w:pStyle w:val="BodyText"/>
      </w:pPr>
      <w:r>
        <w:t>2020/21 has been a year of uncertainty and change in a fundraising context, having seen the temporary closure of our community fundraising functions during the national lockdowns and the cancellation or postponement of our portfolio of challenge and special events. Despite this, fundraising exceeded expectations delivering a gross fundraising income of £1.53m, including pro bono donations. This uplift was a result of the agility of the fundraising teams to adapt and pivot to new digital channels and activities, focussed supporter stewardship, a successful (and first) The Big Give campaign, an unexpected £350k legacy and positive performance across all high value areas (corporate partnerships, trusts and foundations and philanthropy).</w:t>
      </w:r>
    </w:p>
    <w:p w14:paraId="0BEB6C19" w14:textId="77777777" w:rsidR="00C654F7" w:rsidRDefault="00C654F7" w:rsidP="00C654F7">
      <w:pPr>
        <w:pStyle w:val="BodyText"/>
      </w:pPr>
      <w:r>
        <w:t xml:space="preserve">With the closure of our head office, all Fundraising staff were home-based between March and July 2020. A skeletal fundraising team have attended the office since July 2020 to support the counting process of the collection </w:t>
      </w:r>
      <w:proofErr w:type="gramStart"/>
      <w:r>
        <w:t>tins</w:t>
      </w:r>
      <w:proofErr w:type="gramEnd"/>
      <w:r>
        <w:t xml:space="preserve"> function and to process postal donations, with a pause during the second lockdown over the Christmas 2020 period.   </w:t>
      </w:r>
    </w:p>
    <w:p w14:paraId="619EB440" w14:textId="77777777" w:rsidR="00C654F7" w:rsidRDefault="00C654F7" w:rsidP="00C654F7">
      <w:pPr>
        <w:pStyle w:val="BodyText"/>
      </w:pPr>
      <w:r>
        <w:t xml:space="preserve">For the first quarter of 2020/21, recruitment to fundraising posts was put on hold with a minimal level of fundraising recruitment for crucial vacant posts initiated in October 2020. Two fundraising team members were furloughed during the March to July 2020 and the December 2020 to April 2021 lockdown periods – both responsible for coin collecting through the collection </w:t>
      </w:r>
      <w:proofErr w:type="gramStart"/>
      <w:r>
        <w:t>tins</w:t>
      </w:r>
      <w:proofErr w:type="gramEnd"/>
      <w:r>
        <w:t xml:space="preserve"> function. On return, Covid-safe compliant methods of collection and counting were instigated. An interim fundraising team structure was issued to redeploy members of staff whose roles had been adversely affected by the pandemic and to reduce staff costs. This structure was implemented in September 2020 and will remain in place until December 2021. This included Events fundraisers being redeployed to Individual Giving, the Centenary Appeal Manager taking on responsibility for Legacies, and the Trust Fundraiser’s role being split 50/50 between Trust fundraising and supporting the Grants and Impact function. </w:t>
      </w:r>
    </w:p>
    <w:p w14:paraId="2075EBCB" w14:textId="77777777" w:rsidR="00C654F7" w:rsidRDefault="00C654F7" w:rsidP="00C654F7">
      <w:pPr>
        <w:pStyle w:val="BodyText"/>
      </w:pPr>
      <w:r>
        <w:t xml:space="preserve">Despite the challenges the Covid-19 Pandemic presents to income generation, the Vision Foundation has had </w:t>
      </w:r>
      <w:proofErr w:type="gramStart"/>
      <w:r>
        <w:t>a number of</w:t>
      </w:r>
      <w:proofErr w:type="gramEnd"/>
      <w:r>
        <w:t xml:space="preserve"> significant successes. Five fundraising highlights for the year include:</w:t>
      </w:r>
    </w:p>
    <w:p w14:paraId="66E39DD7" w14:textId="77777777" w:rsidR="00C654F7" w:rsidRPr="00C654F7" w:rsidRDefault="00C654F7" w:rsidP="00C654F7">
      <w:pPr>
        <w:pStyle w:val="List"/>
      </w:pPr>
      <w:r w:rsidRPr="00C654F7">
        <w:lastRenderedPageBreak/>
        <w:t xml:space="preserve">The launch of our Centenary Appeal through a digital acquisition event, entitled ‘Sight loss in the Spotlight: Taking Centre Stage’ featuring Hayley and Juliet Mills, Dame Judi Dench, Stephen Fry and Eleanor Stollery. The event attracted over 1,000 registrants and sought to showcase sight loss talent on stage and screen. </w:t>
      </w:r>
    </w:p>
    <w:p w14:paraId="452B2BCE" w14:textId="77777777" w:rsidR="00C654F7" w:rsidRPr="00C654F7" w:rsidRDefault="00C654F7" w:rsidP="00C654F7">
      <w:pPr>
        <w:pStyle w:val="List"/>
      </w:pPr>
      <w:r w:rsidRPr="00C654F7">
        <w:t xml:space="preserve">Trust and Foundation income grew for a second year, after many years of decline, with £127k delivered (an uplift of 92% on 2019/20).  </w:t>
      </w:r>
    </w:p>
    <w:p w14:paraId="243C4A7D" w14:textId="77777777" w:rsidR="00C654F7" w:rsidRPr="00C654F7" w:rsidRDefault="00C654F7" w:rsidP="00C654F7">
      <w:pPr>
        <w:pStyle w:val="List"/>
      </w:pPr>
      <w:r w:rsidRPr="00C654F7">
        <w:t>The Vision Foundation launched a new corporate partnerships strategy, which dovetailed with the philanthropy based Centenary Appeal. This led to £84k of new income from 10 new corporate partners of major supporters. New partnerships were launched with Legal &amp; General, BGC Partners and Aspen Insurance UK.</w:t>
      </w:r>
    </w:p>
    <w:p w14:paraId="38027048" w14:textId="77777777" w:rsidR="00C654F7" w:rsidRPr="00C654F7" w:rsidRDefault="00C654F7" w:rsidP="00C654F7">
      <w:pPr>
        <w:pStyle w:val="List"/>
      </w:pPr>
      <w:r w:rsidRPr="00C654F7">
        <w:t xml:space="preserve">£217k was generated following the successful restitution and sale of two Austrian paintings from the 19th-century Austrian artist Ferdinand Georg </w:t>
      </w:r>
      <w:proofErr w:type="spellStart"/>
      <w:r w:rsidRPr="00C654F7">
        <w:t>Waldmüller</w:t>
      </w:r>
      <w:proofErr w:type="spellEnd"/>
      <w:r w:rsidRPr="00C654F7">
        <w:t xml:space="preserve">. The legator, Irma Austin, had escaped Nazi persecution in Vienna and arrived in Great Britain in 1938. She passed away in 1976 and left her estate, including the paintings, to the Vision Foundation. During her lifetime Irma was unable to reclaim the paintings that had been seized from her Vienna apartment in the 1930s and were due to become part of Hitler’s Führer Museum in Linz. In May 2019, the German Federal Government determined all three paintings were sold under duress and the works were </w:t>
      </w:r>
      <w:proofErr w:type="spellStart"/>
      <w:r w:rsidRPr="00C654F7">
        <w:t>restituted</w:t>
      </w:r>
      <w:proofErr w:type="spellEnd"/>
      <w:r w:rsidRPr="00C654F7">
        <w:t xml:space="preserve"> to the Vision Foundation. We worked with the legal team at Charles Russell </w:t>
      </w:r>
      <w:proofErr w:type="spellStart"/>
      <w:r w:rsidRPr="00C654F7">
        <w:t>Speechlys</w:t>
      </w:r>
      <w:proofErr w:type="spellEnd"/>
      <w:r w:rsidRPr="00C654F7">
        <w:t xml:space="preserve">, art advisory </w:t>
      </w:r>
      <w:proofErr w:type="spellStart"/>
      <w:r w:rsidRPr="00C654F7">
        <w:t>Cadells</w:t>
      </w:r>
      <w:proofErr w:type="spellEnd"/>
      <w:r w:rsidRPr="00C654F7">
        <w:t xml:space="preserve">, and the </w:t>
      </w:r>
      <w:proofErr w:type="spellStart"/>
      <w:r w:rsidRPr="00C654F7">
        <w:t>Dorotheum</w:t>
      </w:r>
      <w:proofErr w:type="spellEnd"/>
      <w:r w:rsidRPr="00C654F7">
        <w:t xml:space="preserve"> in Austria (all on a pro bono basis) to ensure that all necessary due diligence had been conducted to establish our ownership claims, </w:t>
      </w:r>
      <w:proofErr w:type="gramStart"/>
      <w:r w:rsidRPr="00C654F7">
        <w:t>and also</w:t>
      </w:r>
      <w:proofErr w:type="gramEnd"/>
      <w:r w:rsidRPr="00C654F7">
        <w:t xml:space="preserve"> to maximise the benefit to our charity of the sale of the paintings.</w:t>
      </w:r>
    </w:p>
    <w:p w14:paraId="509A4FF3" w14:textId="77777777" w:rsidR="00C654F7" w:rsidRPr="00C654F7" w:rsidRDefault="00C654F7" w:rsidP="00C654F7">
      <w:pPr>
        <w:pStyle w:val="List"/>
      </w:pPr>
      <w:r w:rsidRPr="00C654F7">
        <w:t xml:space="preserve">For the second year in a row, legacy income for the year surpassed forecast, following a large legacy donation from the Hewson Estate of £350k. We are extremely grateful for this support. </w:t>
      </w:r>
    </w:p>
    <w:p w14:paraId="4AF9F64B" w14:textId="77777777" w:rsidR="00C654F7" w:rsidRDefault="00C654F7" w:rsidP="00C654F7">
      <w:pPr>
        <w:pStyle w:val="Heading3"/>
      </w:pPr>
      <w:r>
        <w:t>Retail</w:t>
      </w:r>
    </w:p>
    <w:p w14:paraId="726A6CFD" w14:textId="77777777" w:rsidR="00C654F7" w:rsidRDefault="00C654F7" w:rsidP="00C654F7">
      <w:pPr>
        <w:pStyle w:val="BodyText"/>
      </w:pPr>
      <w:r>
        <w:t xml:space="preserve">Income from the sale of donated goods decreased to £223k from £1.03m in the prior year, wholly due to the shops being closed for 36 weeks of the year, changes to the ability to rotate stock and limits on customer numbers to maintain Covid-19 safety but mitigated by income from government grant schemes including the job retention scheme (furlough) and reopening grants (totalling £422k). </w:t>
      </w:r>
    </w:p>
    <w:p w14:paraId="77E42CA1" w14:textId="77777777" w:rsidR="00C654F7" w:rsidRDefault="00C654F7" w:rsidP="00C654F7">
      <w:pPr>
        <w:pStyle w:val="BodyText"/>
      </w:pPr>
      <w:r>
        <w:t xml:space="preserve">In contrast to income, total directly attributable expenditure for trading activities was £811k, a small decrease from £911k in 2019/20, as staff were </w:t>
      </w:r>
      <w:proofErr w:type="gramStart"/>
      <w:r>
        <w:t>retained</w:t>
      </w:r>
      <w:proofErr w:type="gramEnd"/>
      <w:r>
        <w:t xml:space="preserve"> and rents were still payable. We also used the lockdown periods to make strategic investments in our retail business, including the implementation of </w:t>
      </w:r>
      <w:proofErr w:type="spellStart"/>
      <w:r>
        <w:t>EPoS</w:t>
      </w:r>
      <w:proofErr w:type="spellEnd"/>
      <w:r>
        <w:t xml:space="preserve"> in all stores and the roll out of the new Vision Foundation brand.  </w:t>
      </w:r>
    </w:p>
    <w:p w14:paraId="07910D1C" w14:textId="77777777" w:rsidR="00C654F7" w:rsidRDefault="00C654F7" w:rsidP="00C654F7">
      <w:pPr>
        <w:pStyle w:val="BodyText"/>
      </w:pPr>
      <w:r>
        <w:t xml:space="preserve">We continue to be immensely grateful to the </w:t>
      </w:r>
      <w:proofErr w:type="gramStart"/>
      <w:r>
        <w:t>general public</w:t>
      </w:r>
      <w:proofErr w:type="gramEnd"/>
      <w:r>
        <w:t xml:space="preserve"> for the donation of saleable goods, and to our head of retail operations and all her team, including many long-serving, loyal and hardworking volunteers who generously give their time in support of our work.</w:t>
      </w:r>
    </w:p>
    <w:p w14:paraId="62B09EF2" w14:textId="77777777" w:rsidR="00C654F7" w:rsidRDefault="00C654F7" w:rsidP="00C654F7">
      <w:pPr>
        <w:pStyle w:val="BodyText"/>
      </w:pPr>
    </w:p>
    <w:p w14:paraId="49959497" w14:textId="77777777" w:rsidR="00C654F7" w:rsidRDefault="00C654F7">
      <w:pPr>
        <w:widowControl/>
        <w:autoSpaceDE/>
        <w:autoSpaceDN/>
        <w:rPr>
          <w:rFonts w:eastAsiaTheme="majorEastAsia" w:cstheme="majorBidi"/>
          <w:color w:val="4565AE"/>
          <w:sz w:val="36"/>
          <w:szCs w:val="36"/>
        </w:rPr>
      </w:pPr>
      <w:r>
        <w:br w:type="page"/>
      </w:r>
    </w:p>
    <w:p w14:paraId="0C9552C7" w14:textId="7CF47767" w:rsidR="00C654F7" w:rsidRDefault="00C654F7" w:rsidP="00C654F7">
      <w:pPr>
        <w:pStyle w:val="Heading2"/>
      </w:pPr>
      <w:r>
        <w:lastRenderedPageBreak/>
        <w:t>Our Supporters and Partners</w:t>
      </w:r>
    </w:p>
    <w:p w14:paraId="579545A7" w14:textId="77777777" w:rsidR="00C654F7" w:rsidRDefault="00C654F7" w:rsidP="00C654F7">
      <w:pPr>
        <w:pStyle w:val="BodyText"/>
      </w:pPr>
      <w:r>
        <w:t xml:space="preserve">As part of this Report, we want to pay tribute and give our thanks to our donors, shop customers, </w:t>
      </w:r>
      <w:proofErr w:type="gramStart"/>
      <w:r>
        <w:t>volunteers</w:t>
      </w:r>
      <w:proofErr w:type="gramEnd"/>
      <w:r>
        <w:t xml:space="preserve"> and partners - without their support we would not exist. We seek to invest donations intelligently and to ensure that as much money as possible goes to transforming the lives of those facing or living with sight loss.</w:t>
      </w:r>
    </w:p>
    <w:p w14:paraId="149DFBB3" w14:textId="77777777" w:rsidR="00C654F7" w:rsidRDefault="00C654F7" w:rsidP="00C654F7">
      <w:pPr>
        <w:pStyle w:val="BodyText"/>
      </w:pPr>
    </w:p>
    <w:p w14:paraId="0BCDC850" w14:textId="77777777" w:rsidR="00C654F7" w:rsidRDefault="00C654F7" w:rsidP="00C654F7">
      <w:pPr>
        <w:pStyle w:val="Heading2"/>
      </w:pPr>
      <w:r>
        <w:t>Our Royal Patron and Vice Presidents</w:t>
      </w:r>
    </w:p>
    <w:p w14:paraId="708A6712" w14:textId="77777777" w:rsidR="00C654F7" w:rsidRDefault="00C654F7" w:rsidP="00C654F7">
      <w:pPr>
        <w:pStyle w:val="BodyText"/>
      </w:pPr>
      <w:r>
        <w:t>Our Royal Patron HRH The Countess of Wessex and our Vice Presidents The Rt Hon Sir John Major KG CH, Lady Frances Petchey, Ian Davies, Mr Huntly Taylor (Master of the Worshipful Company of Spectacle Makers), Lord David Blunkett, Sir Trevor McDonald, Cherie Blair CBE, QC and Sir Rocco Forte lend their names and continued support to the Vision Foundation, and we are grateful for the time and commitment they give every year in helping us to raise money, profile and to advocate for blind and partially sighted people.</w:t>
      </w:r>
    </w:p>
    <w:p w14:paraId="08A11EB8" w14:textId="77777777" w:rsidR="00C654F7" w:rsidRDefault="00C654F7" w:rsidP="00C654F7">
      <w:pPr>
        <w:pStyle w:val="BodyText"/>
      </w:pPr>
    </w:p>
    <w:p w14:paraId="28243204" w14:textId="77777777" w:rsidR="00C654F7" w:rsidRDefault="00C654F7" w:rsidP="00C654F7">
      <w:pPr>
        <w:pStyle w:val="Heading2"/>
      </w:pPr>
      <w:r>
        <w:t>Financial Review</w:t>
      </w:r>
    </w:p>
    <w:p w14:paraId="0F9F8DA3" w14:textId="77777777" w:rsidR="00C654F7" w:rsidRDefault="00C654F7" w:rsidP="00C654F7">
      <w:pPr>
        <w:pStyle w:val="BodyText"/>
      </w:pPr>
      <w:r>
        <w:t xml:space="preserve">Total income was £2.6m including investment gain for the year ended 31 March 2021 compared to £3.2m in the last financial year. This income derives principally from trading and fundraising activities. </w:t>
      </w:r>
    </w:p>
    <w:p w14:paraId="770952F2" w14:textId="77777777" w:rsidR="00C654F7" w:rsidRDefault="00C654F7" w:rsidP="00C654F7">
      <w:pPr>
        <w:pStyle w:val="BodyText"/>
      </w:pPr>
      <w:r>
        <w:t xml:space="preserve">Trading income was £645k for the year ended 31 March 2021, a 38% decrease on 2019/20 (£1.04m), representing 29% of total income for the organisation (2019/20: 32%). </w:t>
      </w:r>
    </w:p>
    <w:p w14:paraId="3BBFF89D" w14:textId="77777777" w:rsidR="00C654F7" w:rsidRDefault="00C654F7" w:rsidP="00C654F7">
      <w:pPr>
        <w:pStyle w:val="BodyText"/>
      </w:pPr>
      <w:r>
        <w:t>Funds are raised from voluntary sources through three types of fundraising activity: Events Fundraising which accounted for 2% of our fundraising overall in year, Individual Giving and Legacies which accounted for 83% in 2020/21 (legacies comprising 50%) and Trusts and Corporate Partnerships which accounted for 15%. We invested significantly in our fundraising operation in 2018/19 to support growth with promising results in 2019/20, however the Covid-19 Pandemic has dampened that expected progress.</w:t>
      </w:r>
    </w:p>
    <w:p w14:paraId="4EB16BB0" w14:textId="77777777" w:rsidR="00C654F7" w:rsidRDefault="00C654F7" w:rsidP="00C654F7">
      <w:pPr>
        <w:pStyle w:val="BodyText"/>
      </w:pPr>
      <w:r>
        <w:t xml:space="preserve">The trading company ended the year with income of £645k including government grants – a notable achievement given that shops were closed for 36 weeks of the year. However, with an operating loss of £165k and an operating profit of just £125k in 19/20, a non-Covid year, we are clear that 2021/22 will be a real test of the investments we have made in our retail operation to increase profitability. </w:t>
      </w:r>
    </w:p>
    <w:p w14:paraId="077D11D0" w14:textId="77777777" w:rsidR="00C654F7" w:rsidRDefault="00C654F7" w:rsidP="00C654F7">
      <w:pPr>
        <w:pStyle w:val="BodyText"/>
      </w:pPr>
      <w:r>
        <w:t xml:space="preserve">Total expenditure decreased from £3.6m to £2.6m this year, as we worked hard to control internal costs and had to limit our giving. The amount distributed to grantees and for commissioned research totalled £313k. This was of course far less grant-funding than we would have wished to give, reflecting a charity which was for much of 2020/21 in survival mode. </w:t>
      </w:r>
    </w:p>
    <w:p w14:paraId="642107FD" w14:textId="77777777" w:rsidR="00C654F7" w:rsidRDefault="00C654F7" w:rsidP="00C654F7">
      <w:pPr>
        <w:pStyle w:val="BodyText"/>
      </w:pPr>
      <w:r>
        <w:t>We are however heartened that we were at least able to support some new projects within the year; and were proud that our prior year support meant that we were overall supporting 34 active grants in 2020/21.</w:t>
      </w:r>
    </w:p>
    <w:p w14:paraId="623C7449" w14:textId="77777777" w:rsidR="00C654F7" w:rsidRDefault="00C654F7" w:rsidP="00C654F7">
      <w:pPr>
        <w:pStyle w:val="BodyText"/>
      </w:pPr>
      <w:r>
        <w:t xml:space="preserve">The net position is of course </w:t>
      </w:r>
      <w:proofErr w:type="gramStart"/>
      <w:r>
        <w:t>key, and</w:t>
      </w:r>
      <w:proofErr w:type="gramEnd"/>
      <w:r>
        <w:t xml:space="preserve"> given the operating environment we were pleased to end this financial year with a deficit of just £21k, which was funded by a net drawdown of </w:t>
      </w:r>
      <w:r>
        <w:lastRenderedPageBreak/>
        <w:t xml:space="preserve">reserves (compared to a £442k in the prior year). Unrestricted Reserves carried forward as </w:t>
      </w:r>
      <w:proofErr w:type="gramStart"/>
      <w:r>
        <w:t>at</w:t>
      </w:r>
      <w:proofErr w:type="gramEnd"/>
      <w:r>
        <w:t xml:space="preserve"> 31 March 2021 were £2.20m (2019/20: £2.22m).</w:t>
      </w:r>
    </w:p>
    <w:p w14:paraId="44460CA1" w14:textId="77777777" w:rsidR="00C654F7" w:rsidRDefault="00C654F7" w:rsidP="00C654F7">
      <w:pPr>
        <w:pStyle w:val="BodyText"/>
      </w:pPr>
    </w:p>
    <w:p w14:paraId="4E5F5CD8" w14:textId="77777777" w:rsidR="00C654F7" w:rsidRDefault="00C654F7" w:rsidP="00C654F7">
      <w:pPr>
        <w:pStyle w:val="Heading2"/>
      </w:pPr>
      <w:r>
        <w:t>Principal Risks and Uncertainties</w:t>
      </w:r>
    </w:p>
    <w:p w14:paraId="3B79BAF0" w14:textId="77777777" w:rsidR="00C654F7" w:rsidRDefault="00C654F7" w:rsidP="00C654F7">
      <w:pPr>
        <w:pStyle w:val="BodyText"/>
      </w:pPr>
      <w:r>
        <w:t xml:space="preserve">The Trustees recognise their responsibilities with regard to risk </w:t>
      </w:r>
      <w:proofErr w:type="gramStart"/>
      <w:r>
        <w:t>management, and</w:t>
      </w:r>
      <w:proofErr w:type="gramEnd"/>
      <w:r>
        <w:t xml:space="preserve"> review the main risks to the charity annually or more often as required. They have been keen to ensure that the charity has adequate procedures, </w:t>
      </w:r>
      <w:proofErr w:type="gramStart"/>
      <w:r>
        <w:t>processes</w:t>
      </w:r>
      <w:proofErr w:type="gramEnd"/>
      <w:r>
        <w:t xml:space="preserve"> and strategies in place to monitor, eliminate or mitigate, as appropriate, any risk or potential risks faced by the organisation.</w:t>
      </w:r>
    </w:p>
    <w:p w14:paraId="48055551" w14:textId="77777777" w:rsidR="00C654F7" w:rsidRDefault="00C654F7" w:rsidP="00C654F7">
      <w:pPr>
        <w:pStyle w:val="BodyText"/>
      </w:pPr>
      <w:r>
        <w:t xml:space="preserve">Particular attention is given to the staffing, </w:t>
      </w:r>
      <w:proofErr w:type="gramStart"/>
      <w:r>
        <w:t>operations</w:t>
      </w:r>
      <w:proofErr w:type="gramEnd"/>
      <w:r>
        <w:t xml:space="preserve"> and financial management of the charity, and after review Trustees are satisfied that the charity has appropriate systems of control in place to manage exposure to the key risks.</w:t>
      </w:r>
    </w:p>
    <w:p w14:paraId="0FA6CCE2" w14:textId="77777777" w:rsidR="00C654F7" w:rsidRDefault="00C654F7" w:rsidP="00C654F7">
      <w:pPr>
        <w:pStyle w:val="BodyText"/>
      </w:pPr>
      <w:r>
        <w:t xml:space="preserve">The Trustee Board delegates specific powers to the Finance, Audit and Risk Committee. As a sub-committee of the Trustee Board the Committee oversees financial and risk management matters, including reviews of endemic and specific operational risks. Mitigating strategies are employed as required, underpinned by ongoing </w:t>
      </w:r>
      <w:proofErr w:type="gramStart"/>
      <w:r>
        <w:t>monitoring</w:t>
      </w:r>
      <w:proofErr w:type="gramEnd"/>
      <w:r>
        <w:t xml:space="preserve"> and checking to ensure compliance with policies and best practice.</w:t>
      </w:r>
    </w:p>
    <w:p w14:paraId="0D0EC662" w14:textId="77777777" w:rsidR="00C654F7" w:rsidRDefault="00C654F7" w:rsidP="00C654F7">
      <w:pPr>
        <w:pStyle w:val="BodyText"/>
      </w:pPr>
      <w:r>
        <w:t>The main risks identified at the current time, and mitigating actions are:</w:t>
      </w:r>
    </w:p>
    <w:p w14:paraId="0ADD4DA2" w14:textId="77777777" w:rsidR="00C654F7" w:rsidRDefault="00C654F7" w:rsidP="00C654F7">
      <w:pPr>
        <w:pStyle w:val="List"/>
      </w:pPr>
      <w:r>
        <w:t xml:space="preserve">High dependence on </w:t>
      </w:r>
      <w:proofErr w:type="gramStart"/>
      <w:r>
        <w:t>particular income</w:t>
      </w:r>
      <w:proofErr w:type="gramEnd"/>
      <w:r>
        <w:t xml:space="preserve"> streams plus uncertainty and change due to the Covid-19 Pandemic and unpredictability of legacy income</w:t>
      </w:r>
    </w:p>
    <w:p w14:paraId="66F803E2" w14:textId="77777777" w:rsidR="00C654F7" w:rsidRDefault="00C654F7" w:rsidP="00C654F7">
      <w:pPr>
        <w:pStyle w:val="List"/>
      </w:pPr>
      <w:r>
        <w:t xml:space="preserve">Mitigating actions include adhering to our clear fundraising plan with an emphasis on diversifying into new income streams and avoiding over dependence on any single individual funding stream, our new brand which enhances our profile and reputation, and our intention to improve individual giving and </w:t>
      </w:r>
      <w:proofErr w:type="gramStart"/>
      <w:r>
        <w:t>high level</w:t>
      </w:r>
      <w:proofErr w:type="gramEnd"/>
      <w:r>
        <w:t xml:space="preserve"> donor acquisition. Maintaining reserves is also key to ensure resilience to income fluctuation. We have adapted our fundraising plans in response to the Covid-19 Pandemic challenge and continue to operate in an agile way as restrictions change.</w:t>
      </w:r>
    </w:p>
    <w:p w14:paraId="53B9F29B" w14:textId="77777777" w:rsidR="00C654F7" w:rsidRDefault="00C654F7" w:rsidP="00C654F7">
      <w:pPr>
        <w:pStyle w:val="List"/>
      </w:pPr>
      <w:r>
        <w:t xml:space="preserve">Failure to properly evaluate funding applications based on impact and need, and additionally to properly administer funding applications, approved </w:t>
      </w:r>
      <w:proofErr w:type="gramStart"/>
      <w:r>
        <w:t>grants</w:t>
      </w:r>
      <w:proofErr w:type="gramEnd"/>
      <w:r>
        <w:t xml:space="preserve"> and related payments</w:t>
      </w:r>
    </w:p>
    <w:p w14:paraId="1F9D07AA" w14:textId="77777777" w:rsidR="00C654F7" w:rsidRDefault="00C654F7" w:rsidP="00C654F7">
      <w:pPr>
        <w:pStyle w:val="List"/>
      </w:pPr>
      <w:r>
        <w:t xml:space="preserve">We have invested in our operational and governance resourcing of our </w:t>
      </w:r>
      <w:proofErr w:type="spellStart"/>
      <w:r>
        <w:t>grantmaking</w:t>
      </w:r>
      <w:proofErr w:type="spellEnd"/>
      <w:r>
        <w:t xml:space="preserve"> processes, with a dedicated Director of Grants and Impact, a new grants database, and the establishment of a Grants and Impact Advisory Panel which is currently made up exclusively of individuals with lived experience of sight loss. This panel, remunerated for their time and expertise, reviews </w:t>
      </w:r>
      <w:proofErr w:type="gramStart"/>
      <w:r>
        <w:t>grants</w:t>
      </w:r>
      <w:proofErr w:type="gramEnd"/>
      <w:r>
        <w:t xml:space="preserve"> and makes recommendations for funding to the main Board. </w:t>
      </w:r>
    </w:p>
    <w:p w14:paraId="663BD90D" w14:textId="77777777" w:rsidR="00C654F7" w:rsidRDefault="00C654F7" w:rsidP="00C654F7">
      <w:pPr>
        <w:pStyle w:val="List"/>
      </w:pPr>
      <w:r>
        <w:t>Online application and reporting systems have reduced the administrative burden for applicants, improved accessibility and reduced the potential for human error</w:t>
      </w:r>
    </w:p>
    <w:p w14:paraId="2102AED4" w14:textId="77777777" w:rsidR="00C654F7" w:rsidRDefault="00C654F7" w:rsidP="00C654F7">
      <w:pPr>
        <w:pStyle w:val="List"/>
      </w:pPr>
      <w:r>
        <w:t xml:space="preserve">The new database has decreased the operational reliance on manual processes and spreadsheet systems. This strengthens our control environment and reduces the risk of errors, for example in communicating outcomes to applicants or grants not being paid on time, and it improves or ability to monitor impact of our </w:t>
      </w:r>
      <w:proofErr w:type="spellStart"/>
      <w:r>
        <w:t>grantmaking</w:t>
      </w:r>
      <w:proofErr w:type="spellEnd"/>
      <w:r>
        <w:t xml:space="preserve">. Nonetheless, with a small team, it remains essential to work efficiently and in a highly organised way </w:t>
      </w:r>
      <w:proofErr w:type="gramStart"/>
      <w:r>
        <w:t>in order to</w:t>
      </w:r>
      <w:proofErr w:type="gramEnd"/>
      <w:r>
        <w:t xml:space="preserve"> manage and administer our grants effectively, and to meet our aims for impact analysis.</w:t>
      </w:r>
    </w:p>
    <w:p w14:paraId="7EF9AC17" w14:textId="77777777" w:rsidR="00C654F7" w:rsidRDefault="00C654F7" w:rsidP="00C654F7">
      <w:pPr>
        <w:pStyle w:val="List"/>
      </w:pPr>
      <w:r>
        <w:lastRenderedPageBreak/>
        <w:t xml:space="preserve">Staff or volunteers acting outside regulations, </w:t>
      </w:r>
      <w:proofErr w:type="gramStart"/>
      <w:r>
        <w:t>policies</w:t>
      </w:r>
      <w:proofErr w:type="gramEnd"/>
      <w:r>
        <w:t xml:space="preserve"> and procedures</w:t>
      </w:r>
    </w:p>
    <w:p w14:paraId="4B4BED95" w14:textId="77777777" w:rsidR="00C654F7" w:rsidRDefault="00C654F7" w:rsidP="00C654F7">
      <w:pPr>
        <w:pStyle w:val="List"/>
      </w:pPr>
      <w:r>
        <w:t xml:space="preserve">We have made significant progress creating a compliant suite of policies, and we are now focusing on educating and training staff in their provisions. In the last year we have made significant strides, including </w:t>
      </w:r>
      <w:proofErr w:type="gramStart"/>
      <w:r>
        <w:t>reviewing</w:t>
      </w:r>
      <w:proofErr w:type="gramEnd"/>
      <w:r>
        <w:t xml:space="preserve"> and updating all of our retail policies. All policies are now easily accessible for all staff via our HR database, and we track when employees have read these, we also have online training available on key issues.  Keeping staff up to date on their training and ensuring new staff get up to date quickly remains an ongoing priority. In addition, with the many challenges of the pandemic, staff wellbeing and safe working remain a key priority for the charity. </w:t>
      </w:r>
    </w:p>
    <w:p w14:paraId="3AE65774" w14:textId="77777777" w:rsidR="00C654F7" w:rsidRDefault="00C654F7" w:rsidP="00C654F7">
      <w:pPr>
        <w:pStyle w:val="List"/>
      </w:pPr>
      <w:r>
        <w:t xml:space="preserve">The shops cannot be made viable post Covid-19 with the distancing requirements, or future lockdowns require closure </w:t>
      </w:r>
    </w:p>
    <w:p w14:paraId="31B5CD51" w14:textId="77777777" w:rsidR="00C654F7" w:rsidRDefault="00C654F7" w:rsidP="00C654F7">
      <w:pPr>
        <w:pStyle w:val="List"/>
      </w:pPr>
      <w:r>
        <w:t xml:space="preserve">By following government guidance and training staff, we were able to safely and profitably reopen the shops on 12 April 2021 and so </w:t>
      </w:r>
      <w:proofErr w:type="gramStart"/>
      <w:r>
        <w:t>far</w:t>
      </w:r>
      <w:proofErr w:type="gramEnd"/>
      <w:r>
        <w:t xml:space="preserve"> we have been able to achieve budget whilst not compromising on staff and customer safety. There is also a renewed emphasis on our eBay shop. Future lockdowns would, however, significantly impact our profitability. </w:t>
      </w:r>
    </w:p>
    <w:p w14:paraId="26925D8A" w14:textId="77777777" w:rsidR="00C654F7" w:rsidRDefault="00C654F7" w:rsidP="00C654F7">
      <w:pPr>
        <w:pStyle w:val="BodyText"/>
      </w:pPr>
    </w:p>
    <w:p w14:paraId="581B4B0D" w14:textId="77777777" w:rsidR="00C654F7" w:rsidRDefault="00C654F7" w:rsidP="00C654F7">
      <w:pPr>
        <w:pStyle w:val="Heading2"/>
      </w:pPr>
      <w:r>
        <w:t xml:space="preserve">Reserves Policy and Going Concern </w:t>
      </w:r>
    </w:p>
    <w:p w14:paraId="2A1B1C59" w14:textId="77777777" w:rsidR="00C654F7" w:rsidRDefault="00C654F7" w:rsidP="00C654F7">
      <w:pPr>
        <w:pStyle w:val="BodyText"/>
      </w:pPr>
      <w:r>
        <w:t>The Trustees review the reserves policy every year. The world has changed with the coronavirus pandemic and as a charity fortunate enough to have reserves, we have taken a strategic decision to use them when necessary to maintain a level of activity and invest in our future sustainability and resilience.</w:t>
      </w:r>
    </w:p>
    <w:p w14:paraId="6D1B4803" w14:textId="77777777" w:rsidR="00C654F7" w:rsidRDefault="00C654F7" w:rsidP="00C654F7">
      <w:pPr>
        <w:pStyle w:val="BodyText"/>
      </w:pPr>
      <w:r>
        <w:t xml:space="preserve">The charity has unrestricted undesignated reserves </w:t>
      </w:r>
      <w:proofErr w:type="gramStart"/>
      <w:r>
        <w:t>at</w:t>
      </w:r>
      <w:proofErr w:type="gramEnd"/>
      <w:r>
        <w:t xml:space="preserve"> 31 March 2021 of £1.6m. Of this balance, £358k are fixed assets and £1.25m are liquid unrestricted undesignated funds – please see note 21 of the annual accounts for more detail.</w:t>
      </w:r>
    </w:p>
    <w:p w14:paraId="4AA69872" w14:textId="77777777" w:rsidR="00C654F7" w:rsidRDefault="00C654F7" w:rsidP="00C654F7">
      <w:pPr>
        <w:pStyle w:val="BodyText"/>
      </w:pPr>
      <w:r>
        <w:t>Our reserves policy sets a target level of reserves, which aims to maintain organisational resilience. This is set as follows:</w:t>
      </w:r>
    </w:p>
    <w:p w14:paraId="743322E8" w14:textId="77777777" w:rsidR="00C654F7" w:rsidRPr="00C654F7" w:rsidRDefault="00C654F7" w:rsidP="00C654F7">
      <w:pPr>
        <w:pStyle w:val="List"/>
      </w:pPr>
      <w:r w:rsidRPr="00C654F7">
        <w:t>We aim to set aside enough money to meet potential needs, such as an unexpected drop in income. We endeavour to hold an amount to cover six months’ operating expenditure (excluding grants).</w:t>
      </w:r>
    </w:p>
    <w:p w14:paraId="68CF01C9" w14:textId="77777777" w:rsidR="00C654F7" w:rsidRPr="00C654F7" w:rsidRDefault="00C654F7" w:rsidP="00C654F7">
      <w:pPr>
        <w:pStyle w:val="List"/>
      </w:pPr>
      <w:r w:rsidRPr="00C654F7">
        <w:t>Some of our assets are held as investments. We aim to include an amount to cover the volatility of these, at 15% of the carrying value of the investments at the start of the year.</w:t>
      </w:r>
    </w:p>
    <w:p w14:paraId="68845E40" w14:textId="77777777" w:rsidR="00C654F7" w:rsidRPr="00C654F7" w:rsidRDefault="00C654F7" w:rsidP="00C654F7">
      <w:pPr>
        <w:pStyle w:val="List"/>
      </w:pPr>
      <w:r w:rsidRPr="00C654F7">
        <w:t>A sum to ensure that we can award our minimum level of grants</w:t>
      </w:r>
    </w:p>
    <w:p w14:paraId="5E152ABA" w14:textId="77777777" w:rsidR="00C654F7" w:rsidRDefault="00C654F7" w:rsidP="00C654F7">
      <w:pPr>
        <w:pStyle w:val="BodyText"/>
      </w:pPr>
    </w:p>
    <w:p w14:paraId="39209C1C" w14:textId="0A724D89" w:rsidR="00C654F7" w:rsidRDefault="00C654F7" w:rsidP="00C654F7">
      <w:pPr>
        <w:pStyle w:val="BodyText"/>
      </w:pPr>
      <w:proofErr w:type="gramStart"/>
      <w:r>
        <w:t>At</w:t>
      </w:r>
      <w:proofErr w:type="gramEnd"/>
      <w:r>
        <w:t xml:space="preserve"> 31 March 2021, this equates to a reserves requirement of £1.51m, meaning the charity holds £97k in excess of its target reserves level. </w:t>
      </w:r>
    </w:p>
    <w:p w14:paraId="3311B65D" w14:textId="77777777" w:rsidR="00C654F7" w:rsidRDefault="00C654F7" w:rsidP="00C654F7">
      <w:pPr>
        <w:pStyle w:val="BodyText"/>
      </w:pPr>
      <w:r>
        <w:t xml:space="preserve">Designated reserves of £598k have been set aside by Trustees </w:t>
      </w:r>
      <w:proofErr w:type="gramStart"/>
      <w:r>
        <w:t>in order to</w:t>
      </w:r>
      <w:proofErr w:type="gramEnd"/>
      <w:r>
        <w:t xml:space="preserve"> pursue specific strategic aims and these are described more fully in Note 22a to the accounts.</w:t>
      </w:r>
    </w:p>
    <w:p w14:paraId="498DDF9B" w14:textId="77777777" w:rsidR="00C654F7" w:rsidRDefault="00C654F7" w:rsidP="00C654F7">
      <w:pPr>
        <w:pStyle w:val="BodyText"/>
      </w:pPr>
      <w:r>
        <w:t xml:space="preserve">In relation to going concern, the Trustees have reflected upon the potential impact of external factors such as Brexit and Covid-19, as well as longer term risks to viability such as global economic downturn, significant events being cancelled, or decreases in asset values such as listed investments. This has included the consideration of forecasts prepared under </w:t>
      </w:r>
      <w:proofErr w:type="gramStart"/>
      <w:r>
        <w:t>a number of</w:t>
      </w:r>
      <w:proofErr w:type="gramEnd"/>
      <w:r>
        <w:t xml:space="preserve"> adverse scenarios. These, along with the reserves and cash holdings have </w:t>
      </w:r>
      <w:r>
        <w:lastRenderedPageBreak/>
        <w:t>resulted in the Trustees considering the charity to be a going concern.</w:t>
      </w:r>
    </w:p>
    <w:p w14:paraId="62C824A2" w14:textId="77777777" w:rsidR="00C654F7" w:rsidRDefault="00C654F7" w:rsidP="00C654F7">
      <w:pPr>
        <w:pStyle w:val="BodyText"/>
      </w:pPr>
    </w:p>
    <w:p w14:paraId="33324733" w14:textId="77777777" w:rsidR="00C654F7" w:rsidRDefault="00C654F7" w:rsidP="00C654F7">
      <w:pPr>
        <w:pStyle w:val="Heading2"/>
      </w:pPr>
      <w:r>
        <w:t>Investment Policy</w:t>
      </w:r>
    </w:p>
    <w:p w14:paraId="2AE23C08" w14:textId="77777777" w:rsidR="00C654F7" w:rsidRDefault="00C654F7" w:rsidP="00C654F7">
      <w:pPr>
        <w:pStyle w:val="BodyText"/>
      </w:pPr>
      <w:r>
        <w:t>The Vision Foundation Board has delegated investment decisions to the Finance, Audit and Risk Committee. The Trustees require that the charity hold sufficient cash reserves in current accounts to cover its operating activity. Under the guidance of the Finance, Audit and Risk Committee, subject to certain decisions being referred to the Trustee Board, remaining funds may be invested with due consideration given to the balancing of risk and reward. Investments are held in a form which can be drawn down within a short timeframe as required. At year end £1.05m investment funds were held within the popular COIF Charities Investment Fund which is administered by CCLA.</w:t>
      </w:r>
    </w:p>
    <w:p w14:paraId="4425C3D7" w14:textId="77777777" w:rsidR="00C654F7" w:rsidRDefault="00C654F7" w:rsidP="00C654F7">
      <w:pPr>
        <w:pStyle w:val="BodyText"/>
      </w:pPr>
    </w:p>
    <w:p w14:paraId="77D6ED23" w14:textId="77777777" w:rsidR="00C654F7" w:rsidRDefault="00C654F7" w:rsidP="00C654F7">
      <w:pPr>
        <w:pStyle w:val="Heading2"/>
      </w:pPr>
      <w:proofErr w:type="gramStart"/>
      <w:r>
        <w:t>Plans for the Future</w:t>
      </w:r>
      <w:proofErr w:type="gramEnd"/>
    </w:p>
    <w:p w14:paraId="0B545659" w14:textId="77777777" w:rsidR="00C654F7" w:rsidRDefault="00C654F7" w:rsidP="00C654F7">
      <w:pPr>
        <w:pStyle w:val="BodyText"/>
      </w:pPr>
      <w:r>
        <w:t>It is important to acknowledge that we live in very uncertain times. While the pandemic lockdown is easing, we may experience further waves with consequent restrictions on activity. This may be national as before or more localised – we cannot say but it is becoming clear that it is going to continue as part of the operating context certainly throughout 2021/22 and likely beyond. In the context of that uncertainty, these are the plans we now hope to deliver in 2021/22:</w:t>
      </w:r>
    </w:p>
    <w:p w14:paraId="3D8146E9" w14:textId="77777777" w:rsidR="00C654F7" w:rsidRDefault="00C654F7" w:rsidP="00C654F7">
      <w:pPr>
        <w:pStyle w:val="Heading3"/>
      </w:pPr>
      <w:r>
        <w:t>Responding to the coronavirus pandemic</w:t>
      </w:r>
    </w:p>
    <w:p w14:paraId="238A236D" w14:textId="77777777" w:rsidR="00C654F7" w:rsidRDefault="00C654F7" w:rsidP="00C654F7">
      <w:pPr>
        <w:pStyle w:val="List"/>
      </w:pPr>
      <w:r>
        <w:t xml:space="preserve">Maintaining focus on the lived experience of blind and partially sighted people and amplifying their voices – </w:t>
      </w:r>
      <w:proofErr w:type="gramStart"/>
      <w:r>
        <w:t>e.g.</w:t>
      </w:r>
      <w:proofErr w:type="gramEnd"/>
      <w:r>
        <w:t xml:space="preserve"> insight work, campaign work, digital events and focus groups, webinar and other support to grantees and the sector</w:t>
      </w:r>
    </w:p>
    <w:p w14:paraId="057DCAB8" w14:textId="77777777" w:rsidR="00C654F7" w:rsidRDefault="00C654F7" w:rsidP="00C654F7">
      <w:pPr>
        <w:pStyle w:val="List"/>
      </w:pPr>
      <w:r>
        <w:t>Safeguarding our finances through:</w:t>
      </w:r>
    </w:p>
    <w:p w14:paraId="45D69836" w14:textId="77777777" w:rsidR="00C654F7" w:rsidRDefault="00C654F7" w:rsidP="00882D2F">
      <w:pPr>
        <w:pStyle w:val="List"/>
        <w:numPr>
          <w:ilvl w:val="1"/>
          <w:numId w:val="10"/>
        </w:numPr>
      </w:pPr>
      <w:r>
        <w:t xml:space="preserve">Managing the impact on fundraising by </w:t>
      </w:r>
      <w:proofErr w:type="gramStart"/>
      <w:r>
        <w:t>e.g.</w:t>
      </w:r>
      <w:proofErr w:type="gramEnd"/>
      <w:r>
        <w:t xml:space="preserve"> putting static media collections on hold, cancelling/postponing and reframing events - thereby sustaining some income although at lower levels</w:t>
      </w:r>
    </w:p>
    <w:p w14:paraId="549A1F44" w14:textId="77777777" w:rsidR="00C654F7" w:rsidRDefault="00C654F7" w:rsidP="00882D2F">
      <w:pPr>
        <w:pStyle w:val="List"/>
        <w:numPr>
          <w:ilvl w:val="1"/>
          <w:numId w:val="10"/>
        </w:numPr>
      </w:pPr>
      <w:r>
        <w:t>Containing costs where possible</w:t>
      </w:r>
    </w:p>
    <w:p w14:paraId="37AE50C4" w14:textId="77777777" w:rsidR="00C654F7" w:rsidRDefault="00C654F7" w:rsidP="00882D2F">
      <w:pPr>
        <w:pStyle w:val="List"/>
        <w:numPr>
          <w:ilvl w:val="1"/>
          <w:numId w:val="10"/>
        </w:numPr>
      </w:pPr>
      <w:r>
        <w:t>Mitigating the significant negative impact of any future shop closures by taking advantage of government furlough grant and the potential of eCommerce.</w:t>
      </w:r>
    </w:p>
    <w:p w14:paraId="355D399C" w14:textId="77777777" w:rsidR="00C654F7" w:rsidRDefault="00C654F7" w:rsidP="00C654F7">
      <w:pPr>
        <w:pStyle w:val="List"/>
      </w:pPr>
      <w:r>
        <w:t>Prioritising staff health and wellbeing through the changes.</w:t>
      </w:r>
    </w:p>
    <w:p w14:paraId="5477D74F" w14:textId="77777777" w:rsidR="00C654F7" w:rsidRDefault="00C654F7" w:rsidP="00C654F7">
      <w:pPr>
        <w:pStyle w:val="Heading3"/>
      </w:pPr>
      <w:r>
        <w:t>Maintaining core activity and progress on the strategy</w:t>
      </w:r>
    </w:p>
    <w:p w14:paraId="148BD009" w14:textId="77777777" w:rsidR="00C654F7" w:rsidRPr="00FE665F" w:rsidRDefault="00C654F7" w:rsidP="00FE665F">
      <w:pPr>
        <w:pStyle w:val="Heading5"/>
      </w:pPr>
      <w:r w:rsidRPr="00FE665F">
        <w:t>Grants and capacity building</w:t>
      </w:r>
    </w:p>
    <w:p w14:paraId="52B8B70B" w14:textId="77777777" w:rsidR="00C654F7" w:rsidRPr="00FE665F" w:rsidRDefault="00C654F7" w:rsidP="00FE665F">
      <w:pPr>
        <w:pStyle w:val="List"/>
      </w:pPr>
      <w:r w:rsidRPr="00FE665F">
        <w:t>Running a Vision Fund offering grants in line with our theory of change, with a particular focus on employment in line with our centenary activity</w:t>
      </w:r>
    </w:p>
    <w:p w14:paraId="13530FAB" w14:textId="77777777" w:rsidR="00C654F7" w:rsidRPr="00FE665F" w:rsidRDefault="00C654F7" w:rsidP="00FE665F">
      <w:pPr>
        <w:pStyle w:val="List"/>
      </w:pPr>
      <w:r w:rsidRPr="00FE665F">
        <w:t>Running capacity building workshops for grantees</w:t>
      </w:r>
    </w:p>
    <w:p w14:paraId="748CD175" w14:textId="77777777" w:rsidR="00C654F7" w:rsidRPr="00FE665F" w:rsidRDefault="00C654F7" w:rsidP="00FE665F">
      <w:pPr>
        <w:pStyle w:val="List"/>
      </w:pPr>
      <w:r w:rsidRPr="00FE665F">
        <w:t>Applying our new monitoring and evaluation framework to capture impact</w:t>
      </w:r>
    </w:p>
    <w:p w14:paraId="594C7A80" w14:textId="77777777" w:rsidR="00C654F7" w:rsidRPr="00FE665F" w:rsidRDefault="00C654F7" w:rsidP="00FE665F">
      <w:pPr>
        <w:pStyle w:val="List"/>
      </w:pPr>
      <w:r w:rsidRPr="00FE665F">
        <w:t>Continuing to provide website information for sight loss charities and grant applicants.</w:t>
      </w:r>
    </w:p>
    <w:p w14:paraId="66046A39" w14:textId="77777777" w:rsidR="00C654F7" w:rsidRPr="00FE665F" w:rsidRDefault="00C654F7" w:rsidP="00FE665F">
      <w:pPr>
        <w:pStyle w:val="Heading5"/>
      </w:pPr>
      <w:r w:rsidRPr="00FE665F">
        <w:lastRenderedPageBreak/>
        <w:t>Research and advocacy</w:t>
      </w:r>
    </w:p>
    <w:p w14:paraId="526BF1DC" w14:textId="77777777" w:rsidR="00C654F7" w:rsidRDefault="00C654F7" w:rsidP="00FE665F">
      <w:pPr>
        <w:pStyle w:val="List"/>
      </w:pPr>
      <w:r>
        <w:t>Publishing our research into sight loss best practice employment provision</w:t>
      </w:r>
    </w:p>
    <w:p w14:paraId="122A6702" w14:textId="77777777" w:rsidR="00C654F7" w:rsidRDefault="00C654F7" w:rsidP="00FE665F">
      <w:pPr>
        <w:pStyle w:val="List"/>
      </w:pPr>
      <w:r>
        <w:t>Delivering on our Centenary year appeal and campaigns focusing on employment of blind and partially sighted people</w:t>
      </w:r>
    </w:p>
    <w:p w14:paraId="7FBE6248" w14:textId="77777777" w:rsidR="00C654F7" w:rsidRDefault="00C654F7" w:rsidP="00FE665F">
      <w:pPr>
        <w:pStyle w:val="List"/>
      </w:pPr>
      <w:r>
        <w:t xml:space="preserve">Commissioning research into the prevalence of domestic violence in the sight loss community, and the barriers to accessing support </w:t>
      </w:r>
    </w:p>
    <w:p w14:paraId="45CD6AF4" w14:textId="77777777" w:rsidR="00C654F7" w:rsidRDefault="00C654F7" w:rsidP="00FE665F">
      <w:pPr>
        <w:pStyle w:val="List"/>
      </w:pPr>
      <w:r>
        <w:t>Promoting sight loss ambassadors to articulate the lived experience of people with sight loss.</w:t>
      </w:r>
    </w:p>
    <w:p w14:paraId="748CE3C9" w14:textId="77777777" w:rsidR="00C654F7" w:rsidRPr="00FE665F" w:rsidRDefault="00C654F7" w:rsidP="00FE665F">
      <w:pPr>
        <w:pStyle w:val="Heading5"/>
      </w:pPr>
      <w:r w:rsidRPr="00FE665F">
        <w:t>Improving eye health awareness</w:t>
      </w:r>
    </w:p>
    <w:p w14:paraId="5C0B8B5B" w14:textId="77777777" w:rsidR="00C654F7" w:rsidRDefault="00C654F7" w:rsidP="00FE665F">
      <w:pPr>
        <w:pStyle w:val="List"/>
      </w:pPr>
      <w:r>
        <w:t xml:space="preserve">Commissioning economic modelling into the cost of sight loss </w:t>
      </w:r>
      <w:proofErr w:type="gramStart"/>
      <w:r>
        <w:t>as a result of</w:t>
      </w:r>
      <w:proofErr w:type="gramEnd"/>
      <w:r>
        <w:t xml:space="preserve"> lockdown</w:t>
      </w:r>
    </w:p>
    <w:p w14:paraId="41EE0D48" w14:textId="77777777" w:rsidR="00C654F7" w:rsidRDefault="00C654F7" w:rsidP="00FE665F">
      <w:pPr>
        <w:pStyle w:val="List"/>
      </w:pPr>
      <w:r>
        <w:t>Enhancing our website with information for individuals living with or facing sight loss</w:t>
      </w:r>
    </w:p>
    <w:p w14:paraId="64805A39" w14:textId="77777777" w:rsidR="00C654F7" w:rsidRDefault="00C654F7" w:rsidP="00FE665F">
      <w:pPr>
        <w:pStyle w:val="List"/>
      </w:pPr>
      <w:r>
        <w:t>Working towards using the shops to build awareness about living with sight loss and eye health messages.</w:t>
      </w:r>
    </w:p>
    <w:p w14:paraId="2B121918" w14:textId="77777777" w:rsidR="00C654F7" w:rsidRDefault="00C654F7" w:rsidP="00C654F7">
      <w:pPr>
        <w:pStyle w:val="BodyText"/>
      </w:pPr>
    </w:p>
    <w:p w14:paraId="70598622" w14:textId="77777777" w:rsidR="00C654F7" w:rsidRDefault="00C654F7" w:rsidP="00FE665F">
      <w:pPr>
        <w:pStyle w:val="Heading2"/>
      </w:pPr>
      <w:r>
        <w:t>Positioning for Future Growth and Sustainability</w:t>
      </w:r>
    </w:p>
    <w:p w14:paraId="357BAD14" w14:textId="77777777" w:rsidR="00C654F7" w:rsidRDefault="00C654F7" w:rsidP="00FE665F">
      <w:pPr>
        <w:pStyle w:val="List"/>
      </w:pPr>
      <w:r>
        <w:t xml:space="preserve">Strengthening grants governance, growing our grants advisory </w:t>
      </w:r>
      <w:proofErr w:type="gramStart"/>
      <w:r>
        <w:t>committee</w:t>
      </w:r>
      <w:proofErr w:type="gramEnd"/>
      <w:r>
        <w:t xml:space="preserve"> and fully utilising our new grants database</w:t>
      </w:r>
    </w:p>
    <w:p w14:paraId="64ABB34D" w14:textId="77777777" w:rsidR="00C654F7" w:rsidRDefault="00C654F7" w:rsidP="00FE665F">
      <w:pPr>
        <w:pStyle w:val="List"/>
      </w:pPr>
      <w:r>
        <w:t xml:space="preserve">Reviewing and adjusting our fundraising programme, maintaining excellent </w:t>
      </w:r>
      <w:proofErr w:type="gramStart"/>
      <w:r>
        <w:t>stewardship</w:t>
      </w:r>
      <w:proofErr w:type="gramEnd"/>
      <w:r>
        <w:t xml:space="preserve"> and positioning ourselves for future growth</w:t>
      </w:r>
    </w:p>
    <w:p w14:paraId="2A0A856A" w14:textId="77777777" w:rsidR="00C654F7" w:rsidRDefault="00C654F7" w:rsidP="00FE665F">
      <w:pPr>
        <w:pStyle w:val="List"/>
      </w:pPr>
      <w:r>
        <w:t>Investment in retail turnaround to strengthen profitability plus contribution to our mission beyond money (as a model employer, accessible stores, promotion of fundraising, raising awareness of sight loss etc)</w:t>
      </w:r>
    </w:p>
    <w:p w14:paraId="70ACF152" w14:textId="77777777" w:rsidR="00C654F7" w:rsidRDefault="00C654F7" w:rsidP="00FE665F">
      <w:pPr>
        <w:pStyle w:val="List"/>
      </w:pPr>
      <w:r>
        <w:t>Strengthening financial rigour and investing in IT resilience</w:t>
      </w:r>
    </w:p>
    <w:p w14:paraId="35B2D15F" w14:textId="77777777" w:rsidR="00C654F7" w:rsidRDefault="00C654F7" w:rsidP="00FE665F">
      <w:pPr>
        <w:pStyle w:val="List"/>
      </w:pPr>
      <w:r>
        <w:t>Continuing to develop the Board as needed.</w:t>
      </w:r>
    </w:p>
    <w:p w14:paraId="281709A6" w14:textId="77777777" w:rsidR="00C654F7" w:rsidRDefault="00C654F7" w:rsidP="00FE665F">
      <w:pPr>
        <w:pStyle w:val="List"/>
      </w:pPr>
      <w:r>
        <w:t>Reviewing the use of and need for our office base post Covid-19 and new working practices</w:t>
      </w:r>
    </w:p>
    <w:p w14:paraId="16D9DA82" w14:textId="77777777" w:rsidR="00C654F7" w:rsidRDefault="00C654F7" w:rsidP="00FE665F">
      <w:pPr>
        <w:pStyle w:val="List"/>
      </w:pPr>
      <w:proofErr w:type="gramStart"/>
      <w:r>
        <w:t>In order to</w:t>
      </w:r>
      <w:proofErr w:type="gramEnd"/>
      <w:r>
        <w:t xml:space="preserve"> streamline processes, merging our trading company and its retail shops into the charity.</w:t>
      </w:r>
    </w:p>
    <w:p w14:paraId="3EA05F5B" w14:textId="77777777" w:rsidR="00C654F7" w:rsidRDefault="00C654F7" w:rsidP="00C654F7">
      <w:pPr>
        <w:pStyle w:val="BodyText"/>
      </w:pPr>
    </w:p>
    <w:p w14:paraId="2976ED64" w14:textId="77777777" w:rsidR="00C654F7" w:rsidRDefault="00C654F7" w:rsidP="00FE665F">
      <w:pPr>
        <w:pStyle w:val="Heading2"/>
      </w:pPr>
      <w:r>
        <w:t>Remuneration Policy for Key Management Personnel</w:t>
      </w:r>
    </w:p>
    <w:p w14:paraId="527DEC2B" w14:textId="77777777" w:rsidR="00C654F7" w:rsidRDefault="00C654F7" w:rsidP="00C654F7">
      <w:pPr>
        <w:pStyle w:val="BodyText"/>
      </w:pPr>
      <w:r>
        <w:t>Salaries and remuneration for all staff are approved through the annual budgeting process, reflecting those across the sector and in similar organisations, and with guidance from specialist recruiters during any recruitment process. In line with the Delegations Policy any material variances to the budget are scrutinised by the Finance, Audit and Risk Committee.</w:t>
      </w:r>
    </w:p>
    <w:p w14:paraId="43DA1B77" w14:textId="77777777" w:rsidR="00C654F7" w:rsidRDefault="00C654F7" w:rsidP="00C654F7">
      <w:pPr>
        <w:pStyle w:val="BodyText"/>
      </w:pPr>
    </w:p>
    <w:p w14:paraId="215C8903" w14:textId="77777777" w:rsidR="00C654F7" w:rsidRDefault="00C654F7" w:rsidP="00FE665F">
      <w:pPr>
        <w:pStyle w:val="Heading2"/>
      </w:pPr>
      <w:r>
        <w:t>Related Parties and Relationships with Other Organisations</w:t>
      </w:r>
    </w:p>
    <w:p w14:paraId="7600F754" w14:textId="77777777" w:rsidR="00C654F7" w:rsidRDefault="00C654F7" w:rsidP="00C654F7">
      <w:pPr>
        <w:pStyle w:val="BodyText"/>
      </w:pPr>
      <w:r>
        <w:t>These are set out in Note 11 of the annual accounts.</w:t>
      </w:r>
    </w:p>
    <w:p w14:paraId="1E1D370C" w14:textId="77777777" w:rsidR="00C654F7" w:rsidRDefault="00C654F7" w:rsidP="00C654F7">
      <w:pPr>
        <w:pStyle w:val="BodyText"/>
      </w:pPr>
    </w:p>
    <w:p w14:paraId="61D57FA1" w14:textId="77777777" w:rsidR="00C654F7" w:rsidRDefault="00C654F7" w:rsidP="00FE665F">
      <w:pPr>
        <w:pStyle w:val="Heading2"/>
      </w:pPr>
      <w:r>
        <w:t>Pro Bono Relationships</w:t>
      </w:r>
    </w:p>
    <w:p w14:paraId="568E2D23" w14:textId="77777777" w:rsidR="00C654F7" w:rsidRDefault="00C654F7" w:rsidP="00C654F7">
      <w:pPr>
        <w:pStyle w:val="BodyText"/>
      </w:pPr>
      <w:r>
        <w:t xml:space="preserve">We have been incredibly fortunate to have secured a range of partners who have contributed significantly to our achievements during the year through pro bono or Gift in </w:t>
      </w:r>
      <w:r>
        <w:lastRenderedPageBreak/>
        <w:t xml:space="preserve">Kind support. </w:t>
      </w:r>
    </w:p>
    <w:p w14:paraId="276675E7" w14:textId="77777777" w:rsidR="00C654F7" w:rsidRDefault="00C654F7" w:rsidP="00C654F7">
      <w:pPr>
        <w:pStyle w:val="BodyText"/>
      </w:pPr>
      <w:r>
        <w:t xml:space="preserve">In line with the SORP, the contribution of pro bono legal advice, which we would otherwise have had to purchase, in this year of great transition and transformation for the Charity, amounted to an estimated £147k. </w:t>
      </w:r>
    </w:p>
    <w:p w14:paraId="20C5DEC2" w14:textId="5D90B8E9" w:rsidR="00C654F7" w:rsidRDefault="00C654F7" w:rsidP="00C654F7">
      <w:pPr>
        <w:pStyle w:val="BodyText"/>
      </w:pPr>
      <w:r>
        <w:t>These supporters are listed on page 50 and 51 of this annual review. We cannot thank you enough for your support.</w:t>
      </w:r>
    </w:p>
    <w:p w14:paraId="1412BA3C" w14:textId="77777777" w:rsidR="00FE665F" w:rsidRDefault="00FE665F" w:rsidP="00C654F7">
      <w:pPr>
        <w:pStyle w:val="BodyText"/>
      </w:pPr>
    </w:p>
    <w:p w14:paraId="61FF8906" w14:textId="77777777" w:rsidR="00C654F7" w:rsidRDefault="00C654F7" w:rsidP="00FE665F">
      <w:pPr>
        <w:pStyle w:val="Heading2"/>
      </w:pPr>
      <w:r>
        <w:t>Statement of Responsibilities of the Trustees</w:t>
      </w:r>
    </w:p>
    <w:p w14:paraId="23388F23" w14:textId="77777777" w:rsidR="00C654F7" w:rsidRDefault="00C654F7" w:rsidP="00C654F7">
      <w:pPr>
        <w:pStyle w:val="BodyText"/>
      </w:pPr>
      <w:r>
        <w:t>The Trustees (who are also directors of Vision Foundation for the purposes of company law) are responsible for preparing the Trustees’ annual report and the financial statements in accordance with applicable law and United Kingdom Accounting Standards (United Kingdom Generally Accepted Accounting Practice).</w:t>
      </w:r>
    </w:p>
    <w:p w14:paraId="4BD7F107" w14:textId="77777777" w:rsidR="00C654F7" w:rsidRDefault="00C654F7" w:rsidP="00C654F7">
      <w:pPr>
        <w:pStyle w:val="BodyText"/>
      </w:pPr>
      <w:r>
        <w:t xml:space="preserve">Company law requires the Trustees to prepare financial statements for each financial year which give a true and fair view of the </w:t>
      </w:r>
      <w:proofErr w:type="gramStart"/>
      <w:r>
        <w:t>state of affairs</w:t>
      </w:r>
      <w:proofErr w:type="gramEnd"/>
      <w:r>
        <w:t xml:space="preserve"> of the charitable company and group and of the incoming resources and application of resources, including the income and expenditure, of the charitable company or group for that period. In preparing these financial statements, the Trustees are required to:</w:t>
      </w:r>
    </w:p>
    <w:p w14:paraId="3646860A" w14:textId="77777777" w:rsidR="00C654F7" w:rsidRDefault="00C654F7" w:rsidP="00FE665F">
      <w:pPr>
        <w:pStyle w:val="List"/>
      </w:pPr>
      <w:r>
        <w:t>Select suitable accounting policies and then apply them consistently</w:t>
      </w:r>
    </w:p>
    <w:p w14:paraId="4A910812" w14:textId="77777777" w:rsidR="00C654F7" w:rsidRDefault="00C654F7" w:rsidP="00FE665F">
      <w:pPr>
        <w:pStyle w:val="List"/>
      </w:pPr>
      <w:r>
        <w:t>Observe the methods and principles in the Charities SORP</w:t>
      </w:r>
    </w:p>
    <w:p w14:paraId="38EF7D98" w14:textId="77777777" w:rsidR="00C654F7" w:rsidRDefault="00C654F7" w:rsidP="00FE665F">
      <w:pPr>
        <w:pStyle w:val="List"/>
      </w:pPr>
      <w:r>
        <w:t>Make judgements and estimates that are reasonable and prudent</w:t>
      </w:r>
    </w:p>
    <w:p w14:paraId="56B20F01" w14:textId="77777777" w:rsidR="00C654F7" w:rsidRDefault="00C654F7" w:rsidP="00FE665F">
      <w:pPr>
        <w:pStyle w:val="List"/>
      </w:pPr>
      <w:r>
        <w:t>State whether applicable UK Accounting Standards and statements of recommended practice have been followed, subject to any material departures disclosed and explained in the financial statements</w:t>
      </w:r>
    </w:p>
    <w:p w14:paraId="07F66A97" w14:textId="77777777" w:rsidR="00C654F7" w:rsidRDefault="00C654F7" w:rsidP="00FE665F">
      <w:pPr>
        <w:pStyle w:val="List"/>
      </w:pPr>
      <w:r>
        <w:t>Prepare the financial statements on the going concern basis unless it is inappropriate to presume that the charity will continue in operation.</w:t>
      </w:r>
    </w:p>
    <w:p w14:paraId="05AF2CD5" w14:textId="77777777" w:rsidR="00FE665F" w:rsidRDefault="00FE665F" w:rsidP="00C654F7">
      <w:pPr>
        <w:pStyle w:val="BodyText"/>
      </w:pPr>
    </w:p>
    <w:p w14:paraId="1363D270" w14:textId="2D7F3F61" w:rsidR="00C654F7" w:rsidRDefault="00C654F7" w:rsidP="00C654F7">
      <w:pPr>
        <w:pStyle w:val="BodyText"/>
      </w:pPr>
      <w:r>
        <w:t>The Trustees are responsible for keeping adequate accounting records that disclose with reasonable accuracy at any time the financial position of the charitable company and enable them to ensure that the financial statements comply with the Companies Act 2006. They are also responsible for safeguarding the assets of the charitable company and group and hence for taking reasonable steps for the prevention and detection of fraud and other irregularities.</w:t>
      </w:r>
    </w:p>
    <w:p w14:paraId="778CD346" w14:textId="77777777" w:rsidR="00C654F7" w:rsidRDefault="00C654F7" w:rsidP="00C654F7">
      <w:pPr>
        <w:pStyle w:val="BodyText"/>
      </w:pPr>
      <w:r>
        <w:t>In so far as the Trustees are aware:</w:t>
      </w:r>
    </w:p>
    <w:p w14:paraId="7092144C" w14:textId="77777777" w:rsidR="00C654F7" w:rsidRDefault="00C654F7" w:rsidP="00FE665F">
      <w:pPr>
        <w:pStyle w:val="List"/>
      </w:pPr>
      <w:r>
        <w:t>There is no relevant audit information of which the charitable company’s auditor is unaware</w:t>
      </w:r>
    </w:p>
    <w:p w14:paraId="2F2188CB" w14:textId="77777777" w:rsidR="00C654F7" w:rsidRDefault="00C654F7" w:rsidP="00FE665F">
      <w:pPr>
        <w:pStyle w:val="List"/>
      </w:pPr>
      <w:r>
        <w:t>The Trustees have taken all steps that they ought to have taken to make themselves aware of any relevant audit information and to establish that the auditor is aware of that information.</w:t>
      </w:r>
    </w:p>
    <w:p w14:paraId="3569F16D" w14:textId="77777777" w:rsidR="00FE665F" w:rsidRDefault="00FE665F" w:rsidP="00C654F7">
      <w:pPr>
        <w:pStyle w:val="BodyText"/>
      </w:pPr>
    </w:p>
    <w:p w14:paraId="34899DDA" w14:textId="2C578A86" w:rsidR="00C654F7" w:rsidRDefault="00C654F7" w:rsidP="00C654F7">
      <w:pPr>
        <w:pStyle w:val="BodyText"/>
      </w:pPr>
      <w:r>
        <w:t>The Trustees are responsible for the maintenance and integrity of the corporate and financial information included on the charitable company’s website. Legislation in the United Kingdom governing the preparation and dissemination of financial statements may differ from legislation in other jurisdictions.</w:t>
      </w:r>
    </w:p>
    <w:p w14:paraId="1E798053" w14:textId="77777777" w:rsidR="00C654F7" w:rsidRDefault="00C654F7" w:rsidP="00C654F7">
      <w:pPr>
        <w:pStyle w:val="BodyText"/>
      </w:pPr>
      <w:r>
        <w:lastRenderedPageBreak/>
        <w:t xml:space="preserve">Members of the charity guarantee to contribute an amount not exceeding £1 to the assets of the charity in the event of winding up. </w:t>
      </w:r>
    </w:p>
    <w:p w14:paraId="363CB89C" w14:textId="77777777" w:rsidR="00C654F7" w:rsidRDefault="00C654F7" w:rsidP="00C654F7">
      <w:pPr>
        <w:pStyle w:val="BodyText"/>
      </w:pPr>
      <w:r>
        <w:t xml:space="preserve">The Trustees are members of the </w:t>
      </w:r>
      <w:proofErr w:type="gramStart"/>
      <w:r>
        <w:t>charity</w:t>
      </w:r>
      <w:proofErr w:type="gramEnd"/>
      <w:r>
        <w:t xml:space="preserve"> but this entitles them only to voting rights. The Trustees have no beneficial interest in the charity.</w:t>
      </w:r>
    </w:p>
    <w:p w14:paraId="528304F3" w14:textId="77777777" w:rsidR="00C654F7" w:rsidRDefault="00C654F7" w:rsidP="00C654F7">
      <w:pPr>
        <w:pStyle w:val="BodyText"/>
      </w:pPr>
    </w:p>
    <w:p w14:paraId="0761B4AC" w14:textId="77777777" w:rsidR="00C654F7" w:rsidRDefault="00C654F7" w:rsidP="00FE665F">
      <w:pPr>
        <w:pStyle w:val="Heading2"/>
      </w:pPr>
      <w:r>
        <w:t>Auditor</w:t>
      </w:r>
    </w:p>
    <w:p w14:paraId="4A5CEE85" w14:textId="77777777" w:rsidR="00C654F7" w:rsidRDefault="00C654F7" w:rsidP="00C654F7">
      <w:pPr>
        <w:pStyle w:val="BodyText"/>
      </w:pPr>
      <w:r>
        <w:t>Sayer Vincent LLP was reappointed as the charitable company’s auditor for the year and has expressed its willingness to continue in that capacity.</w:t>
      </w:r>
    </w:p>
    <w:p w14:paraId="6A373B75" w14:textId="77777777" w:rsidR="00C654F7" w:rsidRDefault="00C654F7" w:rsidP="00C654F7">
      <w:pPr>
        <w:pStyle w:val="BodyText"/>
      </w:pPr>
      <w:r>
        <w:t>The Trustees’ annual report has been prepared in accordance with the special provisions applicable to companies subject to the small companies’ regime.</w:t>
      </w:r>
    </w:p>
    <w:p w14:paraId="5AD7326F" w14:textId="63F0DADB" w:rsidR="00A67720" w:rsidRDefault="00C654F7" w:rsidP="00C654F7">
      <w:pPr>
        <w:pStyle w:val="BodyText"/>
      </w:pPr>
      <w:r>
        <w:t>The Trustees’ annual report has been approved by the Trustees on 23 September 2021 and signed on their behalf by</w:t>
      </w:r>
    </w:p>
    <w:p w14:paraId="3BE82413" w14:textId="3C5FA5A9" w:rsidR="00A67720" w:rsidRDefault="00A67720" w:rsidP="00A67720"/>
    <w:p w14:paraId="6B31F3F2" w14:textId="77777777" w:rsidR="00A0021B" w:rsidRPr="00A0021B" w:rsidRDefault="00A67720" w:rsidP="00A67720">
      <w:pPr>
        <w:rPr>
          <w:b/>
          <w:bCs/>
        </w:rPr>
      </w:pPr>
      <w:r w:rsidRPr="00A0021B">
        <w:rPr>
          <w:b/>
          <w:bCs/>
        </w:rPr>
        <w:t xml:space="preserve">Heather Goodhew </w:t>
      </w:r>
    </w:p>
    <w:p w14:paraId="52F897DC" w14:textId="77777777" w:rsidR="00FE665F" w:rsidRDefault="00A67720" w:rsidP="00FE665F">
      <w:r>
        <w:t>Chair of Trustees</w:t>
      </w:r>
    </w:p>
    <w:p w14:paraId="1A50E1F8" w14:textId="77777777" w:rsidR="00511D52" w:rsidRPr="00511D52" w:rsidRDefault="00FE665F" w:rsidP="00511D52">
      <w:pPr>
        <w:pStyle w:val="Heading1"/>
      </w:pPr>
      <w:r>
        <w:br w:type="page"/>
      </w:r>
      <w:r w:rsidR="00511D52" w:rsidRPr="00511D52">
        <w:lastRenderedPageBreak/>
        <w:t>Independent Auditor’s Report</w:t>
      </w:r>
    </w:p>
    <w:p w14:paraId="2BF9A1FD" w14:textId="77777777" w:rsidR="00511D52" w:rsidRDefault="00511D52" w:rsidP="00511D52">
      <w:pPr>
        <w:pStyle w:val="Heading2"/>
      </w:pPr>
      <w:r>
        <w:t>to the members of Vision Foundation</w:t>
      </w:r>
    </w:p>
    <w:p w14:paraId="45B07869" w14:textId="22C837E9" w:rsidR="00FE665F" w:rsidRDefault="00FE665F" w:rsidP="00511D52">
      <w:pPr>
        <w:pStyle w:val="Heading3"/>
      </w:pPr>
      <w:r>
        <w:t>Opinion</w:t>
      </w:r>
    </w:p>
    <w:p w14:paraId="1E082691" w14:textId="77777777" w:rsidR="00FE665F" w:rsidRDefault="00FE665F" w:rsidP="00511D52">
      <w:pPr>
        <w:pStyle w:val="BodyText"/>
      </w:pPr>
      <w:r>
        <w:t>We have audited the financial statements of Vision Foundation (the ‘parent charitable company’) and its subsidiary (the ‘group’) for the year ended 31 March 2021 which comprise the consolidated statement of financial activities, the group and parent charitable company balance sheets, the consolidated statement of cash flows and the notes to the financial statements, including a summary of significant accounting policies. The financial reporting framework that has been applied in their preparation is applicable law and United Kingdom Accounting Standards, including FRS 102 The Financial Reporting Standard applicable in the UK and Republic of Ireland (United Kingdom Generally Accepted Accounting Practice).</w:t>
      </w:r>
    </w:p>
    <w:p w14:paraId="39BC5B06" w14:textId="77777777" w:rsidR="00FE665F" w:rsidRDefault="00FE665F" w:rsidP="00511D52">
      <w:pPr>
        <w:pStyle w:val="BodyText"/>
      </w:pPr>
      <w:r>
        <w:t>In our opinion, the financial statements:</w:t>
      </w:r>
    </w:p>
    <w:p w14:paraId="09FCC090" w14:textId="77777777" w:rsidR="00FE665F" w:rsidRPr="00511D52" w:rsidRDefault="00FE665F" w:rsidP="00511D52">
      <w:pPr>
        <w:pStyle w:val="List"/>
      </w:pPr>
      <w:r w:rsidRPr="00511D52">
        <w:t xml:space="preserve">Give a true and fair view of the state of the group’s and of the parent charitable company’s affairs as </w:t>
      </w:r>
      <w:proofErr w:type="gramStart"/>
      <w:r w:rsidRPr="00511D52">
        <w:t>at</w:t>
      </w:r>
      <w:proofErr w:type="gramEnd"/>
      <w:r w:rsidRPr="00511D52">
        <w:t xml:space="preserve"> 31 March 2021 and of the group’s, for the year then ended</w:t>
      </w:r>
    </w:p>
    <w:p w14:paraId="4073FD73" w14:textId="77777777" w:rsidR="00FE665F" w:rsidRPr="00511D52" w:rsidRDefault="00FE665F" w:rsidP="00511D52">
      <w:pPr>
        <w:pStyle w:val="List"/>
      </w:pPr>
      <w:r w:rsidRPr="00511D52">
        <w:t>Have been properly prepared in accordance with United Kingdom Generally Accepted Accounting Practice</w:t>
      </w:r>
    </w:p>
    <w:p w14:paraId="6A6FB790" w14:textId="18672C1B" w:rsidR="00FE665F" w:rsidRDefault="00FE665F" w:rsidP="00511D52">
      <w:pPr>
        <w:pStyle w:val="List"/>
      </w:pPr>
      <w:r w:rsidRPr="00511D52">
        <w:t>Have been prepared in accordance with the requirements of the Companies Act 2006 and the Charities Act 2011</w:t>
      </w:r>
    </w:p>
    <w:p w14:paraId="5AE1F690" w14:textId="77777777" w:rsidR="00FE665F" w:rsidRDefault="00FE665F" w:rsidP="00511D52">
      <w:pPr>
        <w:pStyle w:val="Heading3"/>
      </w:pPr>
      <w:r>
        <w:t>Basis for opinion</w:t>
      </w:r>
    </w:p>
    <w:p w14:paraId="4CAB71EC" w14:textId="4913D8CE" w:rsidR="00FE665F" w:rsidRDefault="00FE665F" w:rsidP="00511D52">
      <w:pPr>
        <w:pStyle w:val="BodyText"/>
      </w:pPr>
      <w:r>
        <w:t>We conducted our audit in accordance with International Standards on Auditing (UK) (ISAs (UK)) and applicable law. Our responsibilities under those standards are further described in the Auditor’s responsibilities for the audit of the group financial statements section of our report. We are independent of the group and parent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683E55A8" w14:textId="77777777" w:rsidR="00FE665F" w:rsidRDefault="00FE665F" w:rsidP="00511D52">
      <w:pPr>
        <w:pStyle w:val="Heading3"/>
      </w:pPr>
      <w:r>
        <w:t>Conclusions relating to going concern</w:t>
      </w:r>
    </w:p>
    <w:p w14:paraId="3A68EF97" w14:textId="6F9B65DA" w:rsidR="00FE665F" w:rsidRDefault="00FE665F" w:rsidP="00511D52">
      <w:pPr>
        <w:pStyle w:val="BodyText"/>
      </w:pPr>
      <w:r>
        <w:t xml:space="preserve">In auditing the financial statements, we have concluded that the </w:t>
      </w:r>
      <w:r w:rsidR="00D82997">
        <w:t>Trustee</w:t>
      </w:r>
      <w:r>
        <w:t>s’ use of the going concern basis of accounting in the preparation of the financial statements is appropriate.</w:t>
      </w:r>
    </w:p>
    <w:p w14:paraId="66BC3A5C" w14:textId="77777777" w:rsidR="00FE665F" w:rsidRDefault="00FE665F" w:rsidP="00511D52">
      <w:pPr>
        <w:pStyle w:val="BodyText"/>
      </w:pPr>
      <w:r>
        <w:t>Based on the work we have performed, we have not identified any material uncertainties relating to events or conditions that, individually or collectively, may cast significant doubt on Vision Foundation’s ability to continue as a going concern for a period of at least twelve months from when the financial statements are authorised for issue.</w:t>
      </w:r>
    </w:p>
    <w:p w14:paraId="53E13FD7" w14:textId="745E4CC4" w:rsidR="00FE665F" w:rsidRDefault="00FE665F" w:rsidP="00511D52">
      <w:pPr>
        <w:pStyle w:val="BodyText"/>
      </w:pPr>
      <w:r>
        <w:t xml:space="preserve">Our responsibilities and the responsibilities of the </w:t>
      </w:r>
      <w:r w:rsidR="00D82997">
        <w:t>Trustee</w:t>
      </w:r>
      <w:r>
        <w:t>s with respect to going concern are described in the relevant sections of this report.</w:t>
      </w:r>
    </w:p>
    <w:p w14:paraId="035AFBC4" w14:textId="77777777" w:rsidR="00FE665F" w:rsidRDefault="00FE665F" w:rsidP="00511D52">
      <w:pPr>
        <w:pStyle w:val="Heading3"/>
      </w:pPr>
      <w:r>
        <w:t>Other Information</w:t>
      </w:r>
    </w:p>
    <w:p w14:paraId="54794DD1" w14:textId="23D75685" w:rsidR="00FE665F" w:rsidRDefault="00FE665F" w:rsidP="00511D52">
      <w:pPr>
        <w:pStyle w:val="BodyText"/>
      </w:pPr>
      <w:r>
        <w:t xml:space="preserve">The other information comprises the information included in the </w:t>
      </w:r>
      <w:r w:rsidR="00D82997">
        <w:t>Trustee</w:t>
      </w:r>
      <w:r>
        <w:t xml:space="preserve">s’ annual report, </w:t>
      </w:r>
      <w:r>
        <w:lastRenderedPageBreak/>
        <w:t xml:space="preserve">other than the group financial statements and our auditor’s report thereon. The </w:t>
      </w:r>
      <w:r w:rsidR="00D82997">
        <w:t>Trustee</w:t>
      </w:r>
      <w:r>
        <w:t xml:space="preserve">s are responsible for the other information contained within the annual report. Our opinion on the group financial statements does not cover the other information, and, except to the extent otherwise explicitly stated in our report, we do not express any form of assurance conclusion thereon. Our responsibility is to read the other information and, in doing so, consider whether the other information is materially inconsistent with the group financial </w:t>
      </w:r>
      <w:proofErr w:type="gramStart"/>
      <w:r>
        <w:t>statements</w:t>
      </w:r>
      <w:proofErr w:type="gramEnd"/>
      <w:r>
        <w:t xml:space="preserve"> or our knowledge obtained in the course of the audit or otherwise appears to be materially misstated. If we identify such material inconsistencies or apparent material misstatements, we are required to determine whether this gives rise to a material misstatement in the group financial statements themselves. If, based on the work we have performed, we conclude that there is a material misstatement of this other information, we are required to report that fact.  </w:t>
      </w:r>
    </w:p>
    <w:p w14:paraId="5DE796C7" w14:textId="286D771D" w:rsidR="00FE665F" w:rsidRDefault="00FE665F" w:rsidP="00511D52">
      <w:pPr>
        <w:pStyle w:val="BodyText"/>
      </w:pPr>
      <w:r>
        <w:t>We have nothing to report in this regard.</w:t>
      </w:r>
    </w:p>
    <w:p w14:paraId="189034D9" w14:textId="77777777" w:rsidR="00FE665F" w:rsidRDefault="00FE665F" w:rsidP="00511D52">
      <w:pPr>
        <w:pStyle w:val="Heading3"/>
      </w:pPr>
      <w:r>
        <w:t>Opinions on other matters prescribed by the Companies Act 2006</w:t>
      </w:r>
    </w:p>
    <w:p w14:paraId="6F483987" w14:textId="77777777" w:rsidR="00FE665F" w:rsidRDefault="00FE665F" w:rsidP="00511D52">
      <w:pPr>
        <w:pStyle w:val="BodyText"/>
      </w:pPr>
      <w:r>
        <w:t xml:space="preserve">In our opinion, based on the work undertaken </w:t>
      </w:r>
      <w:proofErr w:type="gramStart"/>
      <w:r>
        <w:t>in the course of</w:t>
      </w:r>
      <w:proofErr w:type="gramEnd"/>
      <w:r>
        <w:t xml:space="preserve"> the audit:</w:t>
      </w:r>
    </w:p>
    <w:p w14:paraId="40D3E1EF" w14:textId="178D5423" w:rsidR="00FE665F" w:rsidRPr="00511D52" w:rsidRDefault="00FE665F" w:rsidP="00511D52">
      <w:pPr>
        <w:pStyle w:val="List"/>
      </w:pPr>
      <w:r w:rsidRPr="00511D52">
        <w:t xml:space="preserve">The information given in the </w:t>
      </w:r>
      <w:r w:rsidR="00D82997">
        <w:t>Trustee</w:t>
      </w:r>
      <w:r w:rsidRPr="00511D52">
        <w:t>s’ annual report, for the financial year for which the financial statements are prepared is consistent with the financial statements</w:t>
      </w:r>
    </w:p>
    <w:p w14:paraId="6812B038" w14:textId="1A40F5D5" w:rsidR="00FE665F" w:rsidRDefault="00FE665F" w:rsidP="00511D52">
      <w:pPr>
        <w:pStyle w:val="List"/>
      </w:pPr>
      <w:r w:rsidRPr="00511D52">
        <w:t xml:space="preserve">The </w:t>
      </w:r>
      <w:r w:rsidR="00D82997">
        <w:t>Trustee</w:t>
      </w:r>
      <w:r w:rsidRPr="00511D52">
        <w:t>s’ annual report has been prepared in accordance with applicable legal requirements</w:t>
      </w:r>
    </w:p>
    <w:p w14:paraId="2FFF4E1B" w14:textId="77777777" w:rsidR="00FE665F" w:rsidRDefault="00FE665F" w:rsidP="00511D52">
      <w:pPr>
        <w:pStyle w:val="Heading3"/>
      </w:pPr>
      <w:r>
        <w:t>Matters on which we are required to report by exception</w:t>
      </w:r>
    </w:p>
    <w:p w14:paraId="70641BA7" w14:textId="76370C0C" w:rsidR="00FE665F" w:rsidRDefault="00FE665F" w:rsidP="00511D52">
      <w:pPr>
        <w:pStyle w:val="BodyText"/>
      </w:pPr>
      <w:r>
        <w:t xml:space="preserve">In the light of the knowledge and understanding of the group and the parent charitable company and their environment obtained </w:t>
      </w:r>
      <w:proofErr w:type="gramStart"/>
      <w:r>
        <w:t>in the course of</w:t>
      </w:r>
      <w:proofErr w:type="gramEnd"/>
      <w:r>
        <w:t xml:space="preserve"> the audit, we have not identified material misstatements in the </w:t>
      </w:r>
      <w:r w:rsidR="00D82997">
        <w:t>Trustee</w:t>
      </w:r>
      <w:r>
        <w:t>s’ annual report.</w:t>
      </w:r>
    </w:p>
    <w:p w14:paraId="4B85B833" w14:textId="77777777" w:rsidR="00FE665F" w:rsidRDefault="00FE665F" w:rsidP="00511D52">
      <w:pPr>
        <w:pStyle w:val="BodyText"/>
      </w:pPr>
      <w:r>
        <w:t>We have nothing to report in respect of the following matters in relation to which the Companies Act 2006 and Charities Act 2011 requires us to report to you if, in our opinion:</w:t>
      </w:r>
    </w:p>
    <w:p w14:paraId="63F850F8" w14:textId="77777777" w:rsidR="00FE665F" w:rsidRDefault="00FE665F" w:rsidP="00511D52">
      <w:pPr>
        <w:pStyle w:val="List"/>
      </w:pPr>
      <w:r>
        <w:t>Adequate accounting records have not been kept by the parent charitable company, or returns adequate for our audit have not been received from branches not visited by us; or</w:t>
      </w:r>
    </w:p>
    <w:p w14:paraId="48472F22" w14:textId="77777777" w:rsidR="00FE665F" w:rsidRDefault="00FE665F" w:rsidP="00511D52">
      <w:pPr>
        <w:pStyle w:val="List"/>
      </w:pPr>
      <w:r>
        <w:t>The parent charitable company financial statements are not in agreement with the accounting records and returns; or</w:t>
      </w:r>
    </w:p>
    <w:p w14:paraId="6DE7FA8C" w14:textId="09D959C2" w:rsidR="00FE665F" w:rsidRDefault="00FE665F" w:rsidP="00511D52">
      <w:pPr>
        <w:pStyle w:val="List"/>
      </w:pPr>
      <w:r>
        <w:t xml:space="preserve">Certain disclosures of </w:t>
      </w:r>
      <w:r w:rsidR="00D82997">
        <w:t>Trustee</w:t>
      </w:r>
      <w:r>
        <w:t>s’ remuneration specified by law are not made; or</w:t>
      </w:r>
    </w:p>
    <w:p w14:paraId="7783CCD5" w14:textId="77777777" w:rsidR="00FE665F" w:rsidRDefault="00FE665F" w:rsidP="00511D52">
      <w:pPr>
        <w:pStyle w:val="List"/>
      </w:pPr>
      <w:r>
        <w:t>We have not received all the information and explanations we require for our audit; or</w:t>
      </w:r>
    </w:p>
    <w:p w14:paraId="7ED220D6" w14:textId="449C03F6" w:rsidR="00FE665F" w:rsidRDefault="00FE665F" w:rsidP="00511D52">
      <w:pPr>
        <w:pStyle w:val="List"/>
      </w:pPr>
      <w:r>
        <w:t xml:space="preserve">The directors were not entitled to prepare the financial statements in accordance with the small </w:t>
      </w:r>
      <w:proofErr w:type="gramStart"/>
      <w:r>
        <w:t>companies</w:t>
      </w:r>
      <w:proofErr w:type="gramEnd"/>
      <w:r>
        <w:t xml:space="preserve"> regime and take advantage of the small companies’ exemptions in preparing the </w:t>
      </w:r>
      <w:r w:rsidR="00D82997">
        <w:t>Trustee</w:t>
      </w:r>
      <w:r>
        <w:t xml:space="preserve">s’ annual report and from the requirement to prepare a strategic report. </w:t>
      </w:r>
    </w:p>
    <w:p w14:paraId="5E42AC2C" w14:textId="26F259B4" w:rsidR="00FE665F" w:rsidRDefault="00FE665F" w:rsidP="00511D52">
      <w:pPr>
        <w:pStyle w:val="Heading3"/>
      </w:pPr>
      <w:r>
        <w:t xml:space="preserve">Responsibilities of </w:t>
      </w:r>
      <w:r w:rsidR="00D82997">
        <w:t>Trustee</w:t>
      </w:r>
      <w:r>
        <w:t>s</w:t>
      </w:r>
    </w:p>
    <w:p w14:paraId="67F7D40A" w14:textId="39E2B1B4" w:rsidR="00FE665F" w:rsidRDefault="00FE665F" w:rsidP="00511D52">
      <w:pPr>
        <w:pStyle w:val="BodyText"/>
      </w:pPr>
      <w:r>
        <w:t xml:space="preserve">As explained more fully in the statement of </w:t>
      </w:r>
      <w:r w:rsidR="00D82997">
        <w:t>Trustee</w:t>
      </w:r>
      <w:r>
        <w:t xml:space="preserve">s’ responsibilities set out in the </w:t>
      </w:r>
      <w:r w:rsidR="00D82997">
        <w:t>Trustee</w:t>
      </w:r>
      <w:r>
        <w:t xml:space="preserve">s’ annual report, the </w:t>
      </w:r>
      <w:r w:rsidR="00D82997">
        <w:t>Trustee</w:t>
      </w:r>
      <w:r>
        <w:t xml:space="preserve">s (who are also the directors of the parent charitable company for the purposes of company law) are responsible for the preparation of the financial statements and for being satisfied that they give a true and fair view, and for such internal </w:t>
      </w:r>
      <w:r>
        <w:lastRenderedPageBreak/>
        <w:t xml:space="preserve">control as the </w:t>
      </w:r>
      <w:r w:rsidR="00D82997">
        <w:t>Trustee</w:t>
      </w:r>
      <w:r>
        <w:t>s determine is necessary to enable the preparation of financial statements that are free from material misstatement, whether due to fraud or error.</w:t>
      </w:r>
    </w:p>
    <w:p w14:paraId="298E797F" w14:textId="71509D3B" w:rsidR="00FE665F" w:rsidRDefault="00FE665F" w:rsidP="00511D52">
      <w:pPr>
        <w:pStyle w:val="BodyText"/>
      </w:pPr>
      <w:r>
        <w:t xml:space="preserve">In preparing the financial statements, the </w:t>
      </w:r>
      <w:r w:rsidR="00D82997">
        <w:t>Trustee</w:t>
      </w:r>
      <w:r>
        <w:t xml:space="preserve">s are responsible for assessing the </w:t>
      </w:r>
      <w:proofErr w:type="gramStart"/>
      <w:r>
        <w:t>group’s</w:t>
      </w:r>
      <w:proofErr w:type="gramEnd"/>
      <w:r>
        <w:t xml:space="preserve"> and the parent charitable company’s ability to continue as a going concern, disclosing, as applicable, matters related to going concern and using the going concern basis of accounting unless the </w:t>
      </w:r>
      <w:r w:rsidR="00D82997">
        <w:t>Trustee</w:t>
      </w:r>
      <w:r>
        <w:t>s either intend to liquidate the group or the parent charitable company or to cease operations, or have no realistic alternative but to do so.</w:t>
      </w:r>
    </w:p>
    <w:p w14:paraId="59D7CC42" w14:textId="77777777" w:rsidR="00FE665F" w:rsidRDefault="00FE665F" w:rsidP="00511D52">
      <w:pPr>
        <w:pStyle w:val="BodyText"/>
      </w:pPr>
    </w:p>
    <w:p w14:paraId="46C3F8FC" w14:textId="77777777" w:rsidR="00FE665F" w:rsidRDefault="00FE665F" w:rsidP="00511D52">
      <w:pPr>
        <w:pStyle w:val="Heading3"/>
      </w:pPr>
      <w:r>
        <w:t>Auditor’s responsibilities for the audit of the financial statements</w:t>
      </w:r>
    </w:p>
    <w:p w14:paraId="6733C2CC" w14:textId="77777777" w:rsidR="00FE665F" w:rsidRDefault="00FE665F" w:rsidP="00511D52">
      <w:pPr>
        <w:pStyle w:val="BodyText"/>
      </w:pPr>
      <w:r>
        <w:t>We have been appointed auditor under the Companies Act 2006 and section 151 of the Charites Act 2011 and report in accordance with those Acts.</w:t>
      </w:r>
    </w:p>
    <w:p w14:paraId="47C4F17D" w14:textId="77777777" w:rsidR="00FE665F" w:rsidRDefault="00FE665F" w:rsidP="00511D52">
      <w:pPr>
        <w:pStyle w:val="BodyText"/>
      </w:pPr>
      <w:r>
        <w:t xml:space="preserve">Our objectives are to obtain reasonable assurance about whether the financial statements </w:t>
      </w:r>
      <w:proofErr w:type="gramStart"/>
      <w:r>
        <w:t>as a whole are</w:t>
      </w:r>
      <w:proofErr w:type="gramEnd"/>
      <w:r>
        <w:t xml:space="preserve"> free from material misstatement, whether due to fraud or error, and to issue an auditor’s report that includes our opinion. Reasonable assurance is a high level of </w:t>
      </w:r>
      <w:proofErr w:type="gramStart"/>
      <w:r>
        <w:t>assurance, but</w:t>
      </w:r>
      <w:proofErr w:type="gramEnd"/>
      <w:r>
        <w:t xml:space="preserve">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t>on the basis of</w:t>
      </w:r>
      <w:proofErr w:type="gramEnd"/>
      <w:r>
        <w:t xml:space="preserve"> these financial statements.</w:t>
      </w:r>
    </w:p>
    <w:p w14:paraId="69711908" w14:textId="77777777" w:rsidR="00FE665F" w:rsidRDefault="00FE665F" w:rsidP="00511D52">
      <w:pPr>
        <w:pStyle w:val="BodyText"/>
      </w:pPr>
      <w:r>
        <w:t xml:space="preserve">Irregularities, including fraud, are instances of non-compliance with laws and regulations. We design procedures in line with our responsibilities, outlined above, to detect material misstatements in respect of irregularities, including fraud. The extent to which our procedures </w:t>
      </w:r>
      <w:proofErr w:type="gramStart"/>
      <w:r>
        <w:t>are capable of detecting</w:t>
      </w:r>
      <w:proofErr w:type="gramEnd"/>
      <w:r>
        <w:t xml:space="preserve"> irregularities, including fraud are set out below.</w:t>
      </w:r>
    </w:p>
    <w:p w14:paraId="32DA32D4" w14:textId="77777777" w:rsidR="00FE665F" w:rsidRDefault="00FE665F" w:rsidP="00511D52">
      <w:pPr>
        <w:pStyle w:val="Heading3"/>
      </w:pPr>
      <w:r>
        <w:t xml:space="preserve">Capability of the audit in detecting irregularities </w:t>
      </w:r>
    </w:p>
    <w:p w14:paraId="77DCD092" w14:textId="77777777" w:rsidR="00FE665F" w:rsidRDefault="00FE665F" w:rsidP="00511D52">
      <w:pPr>
        <w:pStyle w:val="BodyText"/>
      </w:pPr>
      <w:r>
        <w:t>In identifying and assessing risks of material misstatement in respect of irregularities, including fraud and non-compliance with laws and regulations, our procedures included the following:</w:t>
      </w:r>
    </w:p>
    <w:p w14:paraId="6D3A5DE8" w14:textId="77777777" w:rsidR="00FE665F" w:rsidRPr="00511D52" w:rsidRDefault="00FE665F" w:rsidP="00511D52">
      <w:pPr>
        <w:pStyle w:val="List"/>
      </w:pPr>
      <w:r w:rsidRPr="00511D52">
        <w:t>We enquired of management and finance committee, which included obtaining and reviewing supporting documentation, concerning the group’s policies and procedures relating to:</w:t>
      </w:r>
    </w:p>
    <w:p w14:paraId="73318AA2" w14:textId="77777777" w:rsidR="00FE665F" w:rsidRPr="00511D52" w:rsidRDefault="00FE665F" w:rsidP="00511D52">
      <w:pPr>
        <w:pStyle w:val="List"/>
      </w:pPr>
      <w:r w:rsidRPr="00511D52">
        <w:t xml:space="preserve">Identifying, evaluating, and complying with laws and regulations and whether they were aware of any instances of </w:t>
      </w:r>
      <w:proofErr w:type="gramStart"/>
      <w:r w:rsidRPr="00511D52">
        <w:t>non-compliance;</w:t>
      </w:r>
      <w:proofErr w:type="gramEnd"/>
    </w:p>
    <w:p w14:paraId="4EA064B5" w14:textId="77777777" w:rsidR="00FE665F" w:rsidRPr="00511D52" w:rsidRDefault="00FE665F" w:rsidP="00511D52">
      <w:pPr>
        <w:pStyle w:val="List"/>
      </w:pPr>
      <w:r w:rsidRPr="00511D52">
        <w:t xml:space="preserve">Detecting and responding to the risks of fraud and whether they have knowledge of any actual, suspected, or alleged </w:t>
      </w:r>
      <w:proofErr w:type="gramStart"/>
      <w:r w:rsidRPr="00511D52">
        <w:t>fraud;</w:t>
      </w:r>
      <w:proofErr w:type="gramEnd"/>
    </w:p>
    <w:p w14:paraId="7A445755" w14:textId="77777777" w:rsidR="00FE665F" w:rsidRPr="00511D52" w:rsidRDefault="00FE665F" w:rsidP="00511D52">
      <w:pPr>
        <w:pStyle w:val="List"/>
      </w:pPr>
      <w:r w:rsidRPr="00511D52">
        <w:t>The internal controls established to mitigate risks related to fraud or non-compliance with laws and regulations.</w:t>
      </w:r>
    </w:p>
    <w:p w14:paraId="2AD74114" w14:textId="77777777" w:rsidR="00FE665F" w:rsidRPr="00511D52" w:rsidRDefault="00FE665F" w:rsidP="00511D52">
      <w:pPr>
        <w:pStyle w:val="List"/>
      </w:pPr>
      <w:r w:rsidRPr="00511D52">
        <w:t>We inspected the minutes of meetings of those charged with governance.</w:t>
      </w:r>
    </w:p>
    <w:p w14:paraId="1EE87702" w14:textId="77777777" w:rsidR="00FE665F" w:rsidRPr="00511D52" w:rsidRDefault="00FE665F" w:rsidP="00511D52">
      <w:pPr>
        <w:pStyle w:val="List"/>
      </w:pPr>
      <w:r w:rsidRPr="00511D52">
        <w:t>We obtained an understanding of the legal and regulatory framework that the group operates in, focusing on those laws and regulations that had a material effect on the financial statements or that had a fundamental effect on the operations of the group from our professional and sector experience.</w:t>
      </w:r>
    </w:p>
    <w:p w14:paraId="572A39ED" w14:textId="77777777" w:rsidR="00FE665F" w:rsidRPr="00511D52" w:rsidRDefault="00FE665F" w:rsidP="00511D52">
      <w:pPr>
        <w:pStyle w:val="List"/>
      </w:pPr>
      <w:r w:rsidRPr="00511D52">
        <w:t>We communicated applicable laws and regulations throughout the audit team and remained alert to any indications of non-compliance throughout the audit.</w:t>
      </w:r>
    </w:p>
    <w:p w14:paraId="09FD2DC4" w14:textId="77777777" w:rsidR="00FE665F" w:rsidRPr="00511D52" w:rsidRDefault="00FE665F" w:rsidP="00511D52">
      <w:pPr>
        <w:pStyle w:val="List"/>
      </w:pPr>
      <w:r w:rsidRPr="00511D52">
        <w:lastRenderedPageBreak/>
        <w:t>We reviewed any reports made to regulators.</w:t>
      </w:r>
    </w:p>
    <w:p w14:paraId="50D1648F" w14:textId="77777777" w:rsidR="00FE665F" w:rsidRPr="00511D52" w:rsidRDefault="00FE665F" w:rsidP="00511D52">
      <w:pPr>
        <w:pStyle w:val="List"/>
      </w:pPr>
      <w:r w:rsidRPr="00511D52">
        <w:t xml:space="preserve">We reviewed the financial statement disclosures and tested these to supporting documentation to assess compliance with applicable laws and regulations. </w:t>
      </w:r>
    </w:p>
    <w:p w14:paraId="0C0BB02C" w14:textId="77777777" w:rsidR="00FE665F" w:rsidRPr="00511D52" w:rsidRDefault="00FE665F" w:rsidP="00511D52">
      <w:pPr>
        <w:pStyle w:val="List"/>
      </w:pPr>
      <w:r w:rsidRPr="00511D52">
        <w:t>We performed analytical procedures to identify any unusual or unexpected relationships that may indicate risks of material misstatement due to fraud.</w:t>
      </w:r>
    </w:p>
    <w:p w14:paraId="377242E1" w14:textId="77777777" w:rsidR="00FE665F" w:rsidRPr="00511D52" w:rsidRDefault="00FE665F" w:rsidP="00511D52">
      <w:pPr>
        <w:pStyle w:val="List"/>
      </w:pPr>
      <w:r w:rsidRPr="00511D52">
        <w:t xml:space="preserve">In addressing the risk of fraud through management override of controls, we tested the appropriateness of journal entries and other adjustments, assessed whether the judgements made in making accounting estimates are indicative of a potential bias and tested significant transactions that are unusual or those outside the normal course of business. </w:t>
      </w:r>
    </w:p>
    <w:p w14:paraId="631878E9" w14:textId="77777777" w:rsidR="00511D52" w:rsidRDefault="00511D52" w:rsidP="00511D52">
      <w:pPr>
        <w:pStyle w:val="BodyText"/>
      </w:pPr>
    </w:p>
    <w:p w14:paraId="357C82BD" w14:textId="6D474B16" w:rsidR="00FE665F" w:rsidRDefault="00FE665F" w:rsidP="00511D52">
      <w:pPr>
        <w:pStyle w:val="BodyText"/>
      </w:pPr>
      <w:r>
        <w:t xml:space="preserve">Because of the inherent limitations of an audit, there is a risk that we will not detect all irregularities, including those leading to a material misstatement in the financial statements or non-compliance with regulation.  This risk increases the more that compliance with a law or regulation is removed from the events and transactions reflected in the financial statements, as we will be less likely to become aware of instances of non-compliance. The risk is also greater regarding irregularities occurring due to fraud rather than error, as fraud involves intentional concealment, forgery, collusion, </w:t>
      </w:r>
      <w:proofErr w:type="gramStart"/>
      <w:r>
        <w:t>omission</w:t>
      </w:r>
      <w:proofErr w:type="gramEnd"/>
      <w:r>
        <w:t xml:space="preserve"> or misrepresentation.</w:t>
      </w:r>
    </w:p>
    <w:p w14:paraId="75878922" w14:textId="3CE36E78" w:rsidR="00FE665F" w:rsidRDefault="00FE665F" w:rsidP="00511D52">
      <w:pPr>
        <w:pStyle w:val="BodyText"/>
      </w:pPr>
      <w:r>
        <w:t>A further description of our responsibilities is available on the Financial Reporting Council’s website at: www.frc.org.uk/auditorsresponsibilities. This description forms part of our auditor’s report.</w:t>
      </w:r>
    </w:p>
    <w:p w14:paraId="6BA4C5CD" w14:textId="77777777" w:rsidR="00FE665F" w:rsidRDefault="00FE665F" w:rsidP="00511D52">
      <w:pPr>
        <w:pStyle w:val="Heading3"/>
      </w:pPr>
      <w:r>
        <w:t>Use of our report</w:t>
      </w:r>
    </w:p>
    <w:p w14:paraId="2B452B68" w14:textId="77777777" w:rsidR="00FE665F" w:rsidRDefault="00FE665F" w:rsidP="00511D52">
      <w:pPr>
        <w:pStyle w:val="BodyText"/>
      </w:pPr>
      <w:r>
        <w:t>This report is made solely to the charitable company’s members as a body, in accordance with Chapter 3 of Part 16 of the Companies Act 2006 and section 144 of the Charities Act 2011 and regulations made under section 154 of that Act.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5F85ABF3" w14:textId="77777777" w:rsidR="00FE665F" w:rsidRDefault="00FE665F" w:rsidP="00511D52">
      <w:pPr>
        <w:pStyle w:val="BodyText"/>
      </w:pPr>
    </w:p>
    <w:p w14:paraId="26227F11" w14:textId="77777777" w:rsidR="00FE665F" w:rsidRDefault="00FE665F" w:rsidP="00511D52">
      <w:pPr>
        <w:pStyle w:val="Heading3"/>
      </w:pPr>
      <w:r>
        <w:t xml:space="preserve">Noelia Serrano </w:t>
      </w:r>
    </w:p>
    <w:p w14:paraId="14717756" w14:textId="77777777" w:rsidR="00FE665F" w:rsidRDefault="00FE665F" w:rsidP="00511D52">
      <w:pPr>
        <w:pStyle w:val="BodyText"/>
      </w:pPr>
      <w:r>
        <w:t>Senior statutory auditor</w:t>
      </w:r>
    </w:p>
    <w:p w14:paraId="4E26FBFE" w14:textId="77777777" w:rsidR="00511D52" w:rsidRDefault="00511D52" w:rsidP="00511D52">
      <w:pPr>
        <w:pStyle w:val="BodyText"/>
      </w:pPr>
    </w:p>
    <w:p w14:paraId="5FFBCEA5" w14:textId="7C11B3AD" w:rsidR="00FE665F" w:rsidRDefault="00FE665F" w:rsidP="00511D52">
      <w:pPr>
        <w:pStyle w:val="BodyText"/>
      </w:pPr>
      <w:r>
        <w:t>14 December 2021</w:t>
      </w:r>
    </w:p>
    <w:p w14:paraId="74757C5C" w14:textId="77777777" w:rsidR="00511D52" w:rsidRDefault="00511D52" w:rsidP="00511D52">
      <w:pPr>
        <w:pStyle w:val="BodyText"/>
      </w:pPr>
    </w:p>
    <w:p w14:paraId="5A3376D1" w14:textId="489E1AC3" w:rsidR="00FE665F" w:rsidRDefault="00FE665F" w:rsidP="00511D52">
      <w:pPr>
        <w:pStyle w:val="BodyText"/>
      </w:pPr>
      <w:r>
        <w:t>for and on behalf of Sayer Vincent LLP, Statutory Auditor</w:t>
      </w:r>
    </w:p>
    <w:p w14:paraId="036218D4" w14:textId="77777777" w:rsidR="00FE665F" w:rsidRDefault="00FE665F" w:rsidP="00511D52">
      <w:pPr>
        <w:pStyle w:val="BodyText"/>
        <w:spacing w:after="0"/>
      </w:pPr>
      <w:r>
        <w:t>Invicta House</w:t>
      </w:r>
    </w:p>
    <w:p w14:paraId="655F3BE1" w14:textId="77777777" w:rsidR="00FE665F" w:rsidRDefault="00FE665F" w:rsidP="00511D52">
      <w:pPr>
        <w:pStyle w:val="BodyText"/>
        <w:spacing w:after="0"/>
      </w:pPr>
      <w:r>
        <w:t xml:space="preserve">108-114 Golden Lane </w:t>
      </w:r>
    </w:p>
    <w:p w14:paraId="11890FCA" w14:textId="77777777" w:rsidR="00FE665F" w:rsidRDefault="00FE665F" w:rsidP="00511D52">
      <w:pPr>
        <w:pStyle w:val="BodyText"/>
        <w:spacing w:after="0"/>
      </w:pPr>
      <w:r>
        <w:t xml:space="preserve">LONDON, </w:t>
      </w:r>
    </w:p>
    <w:p w14:paraId="522F852F" w14:textId="77777777" w:rsidR="00FE665F" w:rsidRDefault="00FE665F" w:rsidP="00511D52">
      <w:pPr>
        <w:pStyle w:val="BodyText"/>
        <w:spacing w:after="0"/>
      </w:pPr>
      <w:r>
        <w:t xml:space="preserve">EC1Y 0TL </w:t>
      </w:r>
    </w:p>
    <w:p w14:paraId="04153CE3" w14:textId="77777777" w:rsidR="00FE665F" w:rsidRDefault="00FE665F" w:rsidP="00511D52">
      <w:pPr>
        <w:pStyle w:val="BodyText"/>
      </w:pPr>
    </w:p>
    <w:p w14:paraId="5D04A61F" w14:textId="3DCD77A7" w:rsidR="00A0021B" w:rsidRDefault="00FE665F" w:rsidP="00511D52">
      <w:pPr>
        <w:pStyle w:val="BodyText"/>
      </w:pPr>
      <w:r>
        <w:lastRenderedPageBreak/>
        <w:t>Sayer Vincent LLP is eligible to act as auditor in terms of section 1212 of the Companies Act 2006</w:t>
      </w:r>
      <w:r w:rsidR="00A0021B">
        <w:br w:type="page"/>
      </w:r>
    </w:p>
    <w:p w14:paraId="53EB5E35" w14:textId="77777777" w:rsidR="00E53E1A" w:rsidRPr="00C65369" w:rsidRDefault="00A0021B" w:rsidP="00546CE5">
      <w:pPr>
        <w:pStyle w:val="Heading1"/>
        <w:rPr>
          <w:sz w:val="44"/>
          <w:szCs w:val="44"/>
        </w:rPr>
      </w:pPr>
      <w:bookmarkStart w:id="13" w:name="_Toc87614392"/>
      <w:r w:rsidRPr="00C65369">
        <w:rPr>
          <w:sz w:val="44"/>
          <w:szCs w:val="44"/>
        </w:rPr>
        <w:lastRenderedPageBreak/>
        <w:t>Consolidated statement of financial activities</w:t>
      </w:r>
      <w:bookmarkEnd w:id="13"/>
      <w:r w:rsidRPr="00C65369">
        <w:rPr>
          <w:sz w:val="44"/>
          <w:szCs w:val="44"/>
        </w:rPr>
        <w:t xml:space="preserve"> </w:t>
      </w:r>
    </w:p>
    <w:p w14:paraId="690B3BD5" w14:textId="76D0DFAD" w:rsidR="00E53E1A" w:rsidRPr="00511D52" w:rsidRDefault="00A0021B" w:rsidP="00511D52">
      <w:pPr>
        <w:pStyle w:val="Heading2"/>
        <w:rPr>
          <w:b/>
        </w:rPr>
      </w:pPr>
      <w:r w:rsidRPr="00C65369">
        <w:t>(</w:t>
      </w:r>
      <w:proofErr w:type="gramStart"/>
      <w:r w:rsidRPr="00C65369">
        <w:t>incorporating</w:t>
      </w:r>
      <w:proofErr w:type="gramEnd"/>
      <w:r w:rsidRPr="00C65369">
        <w:t xml:space="preserve"> an income and expenditure account)</w:t>
      </w:r>
    </w:p>
    <w:p w14:paraId="058AB655" w14:textId="1CF5C058" w:rsidR="00A67720" w:rsidRDefault="00A0021B" w:rsidP="00511D52">
      <w:pPr>
        <w:pStyle w:val="Heading3"/>
      </w:pPr>
      <w:r w:rsidRPr="00E53E1A">
        <w:t>For the year ended 31 March 2021</w:t>
      </w:r>
    </w:p>
    <w:p w14:paraId="1AE0B654" w14:textId="39BF7D7F" w:rsidR="00C65369" w:rsidRPr="00653A38" w:rsidRDefault="00C65369" w:rsidP="00C65369">
      <w:pPr>
        <w:rPr>
          <w:sz w:val="18"/>
          <w:szCs w:val="18"/>
        </w:rPr>
      </w:pPr>
    </w:p>
    <w:tbl>
      <w:tblPr>
        <w:tblStyle w:val="PlainTable4"/>
        <w:tblW w:w="9498" w:type="dxa"/>
        <w:tblCellMar>
          <w:top w:w="28" w:type="dxa"/>
          <w:left w:w="57" w:type="dxa"/>
          <w:bottom w:w="28" w:type="dxa"/>
          <w:right w:w="57" w:type="dxa"/>
        </w:tblCellMar>
        <w:tblLook w:val="04A0" w:firstRow="1" w:lastRow="0" w:firstColumn="1" w:lastColumn="0" w:noHBand="0" w:noVBand="1"/>
      </w:tblPr>
      <w:tblGrid>
        <w:gridCol w:w="2410"/>
        <w:gridCol w:w="815"/>
        <w:gridCol w:w="1132"/>
        <w:gridCol w:w="950"/>
        <w:gridCol w:w="960"/>
        <w:gridCol w:w="1132"/>
        <w:gridCol w:w="950"/>
        <w:gridCol w:w="1149"/>
      </w:tblGrid>
      <w:tr w:rsidR="002B176B" w:rsidRPr="00653A38" w14:paraId="14D926E4" w14:textId="42E5DF7E" w:rsidTr="00653A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C656FBF" w14:textId="3A5C3F29" w:rsidR="002B176B" w:rsidRPr="00653A38" w:rsidRDefault="002B176B" w:rsidP="002B176B">
            <w:pPr>
              <w:pStyle w:val="TableParagraph"/>
              <w:rPr>
                <w:szCs w:val="18"/>
              </w:rPr>
            </w:pPr>
          </w:p>
        </w:tc>
        <w:tc>
          <w:tcPr>
            <w:tcW w:w="815" w:type="dxa"/>
            <w:vAlign w:val="center"/>
          </w:tcPr>
          <w:p w14:paraId="7A7CAE07" w14:textId="7BF16CEF" w:rsidR="002B176B" w:rsidRPr="00653A38" w:rsidRDefault="002B176B" w:rsidP="00183CAB">
            <w:pPr>
              <w:pStyle w:val="TableParagraph"/>
              <w:jc w:val="center"/>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Note</w:t>
            </w:r>
          </w:p>
        </w:tc>
        <w:tc>
          <w:tcPr>
            <w:tcW w:w="1132" w:type="dxa"/>
            <w:vAlign w:val="center"/>
          </w:tcPr>
          <w:p w14:paraId="2C598E18" w14:textId="20E5D59B"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Unrestricted</w:t>
            </w:r>
          </w:p>
          <w:p w14:paraId="14015239" w14:textId="02ACEFC3"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w:t>
            </w:r>
          </w:p>
        </w:tc>
        <w:tc>
          <w:tcPr>
            <w:tcW w:w="950" w:type="dxa"/>
            <w:vAlign w:val="center"/>
          </w:tcPr>
          <w:p w14:paraId="653BF22E" w14:textId="77777777"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Restricted</w:t>
            </w:r>
          </w:p>
          <w:p w14:paraId="1C2D32DD" w14:textId="47C6AFF8"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w:t>
            </w:r>
          </w:p>
        </w:tc>
        <w:tc>
          <w:tcPr>
            <w:tcW w:w="960" w:type="dxa"/>
            <w:vAlign w:val="center"/>
          </w:tcPr>
          <w:p w14:paraId="533F00A3" w14:textId="77777777"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653A38">
              <w:rPr>
                <w:szCs w:val="18"/>
              </w:rPr>
              <w:t>2021</w:t>
            </w:r>
          </w:p>
          <w:p w14:paraId="40859FC3" w14:textId="77777777"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653A38">
              <w:rPr>
                <w:szCs w:val="18"/>
              </w:rPr>
              <w:t>Total</w:t>
            </w:r>
          </w:p>
          <w:p w14:paraId="07BBB420" w14:textId="614EC737"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w:t>
            </w:r>
          </w:p>
        </w:tc>
        <w:tc>
          <w:tcPr>
            <w:tcW w:w="1132" w:type="dxa"/>
            <w:vAlign w:val="center"/>
          </w:tcPr>
          <w:p w14:paraId="0BE3B2E0" w14:textId="77777777"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Unrestricted</w:t>
            </w:r>
          </w:p>
          <w:p w14:paraId="7D983672" w14:textId="77777777"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p>
        </w:tc>
        <w:tc>
          <w:tcPr>
            <w:tcW w:w="950" w:type="dxa"/>
            <w:vAlign w:val="center"/>
          </w:tcPr>
          <w:p w14:paraId="41004A72" w14:textId="77777777"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Restricted</w:t>
            </w:r>
          </w:p>
          <w:p w14:paraId="34765037" w14:textId="4334CACF"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w:t>
            </w:r>
          </w:p>
        </w:tc>
        <w:tc>
          <w:tcPr>
            <w:tcW w:w="1149" w:type="dxa"/>
            <w:vAlign w:val="center"/>
          </w:tcPr>
          <w:p w14:paraId="2727658A" w14:textId="225EB7E0"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2020</w:t>
            </w:r>
          </w:p>
          <w:p w14:paraId="2D6F1E26" w14:textId="77777777"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Total</w:t>
            </w:r>
          </w:p>
          <w:p w14:paraId="39F02174" w14:textId="1AE4686E" w:rsidR="002B176B" w:rsidRPr="00653A38" w:rsidRDefault="002B176B" w:rsidP="002B176B">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653A38">
              <w:rPr>
                <w:b w:val="0"/>
                <w:bCs w:val="0"/>
                <w:szCs w:val="18"/>
              </w:rPr>
              <w:t>£</w:t>
            </w:r>
          </w:p>
        </w:tc>
      </w:tr>
      <w:tr w:rsidR="00183CAB" w:rsidRPr="00653A38" w14:paraId="364B354C"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6E1FF5D" w14:textId="3268A750" w:rsidR="00183CAB" w:rsidRPr="00653A38" w:rsidRDefault="00183CAB" w:rsidP="002B176B">
            <w:pPr>
              <w:pStyle w:val="TableParagraph"/>
              <w:rPr>
                <w:b w:val="0"/>
                <w:bCs w:val="0"/>
                <w:szCs w:val="18"/>
              </w:rPr>
            </w:pPr>
            <w:r w:rsidRPr="00653A38">
              <w:rPr>
                <w:szCs w:val="18"/>
              </w:rPr>
              <w:t>Income from</w:t>
            </w:r>
            <w:r w:rsidRPr="00653A38">
              <w:rPr>
                <w:szCs w:val="18"/>
              </w:rPr>
              <w:softHyphen/>
            </w:r>
          </w:p>
        </w:tc>
        <w:tc>
          <w:tcPr>
            <w:tcW w:w="815" w:type="dxa"/>
            <w:vAlign w:val="center"/>
          </w:tcPr>
          <w:p w14:paraId="170E5C4B" w14:textId="77777777" w:rsidR="00183CAB" w:rsidRPr="00653A38" w:rsidRDefault="00183CAB" w:rsidP="00183CAB">
            <w:pPr>
              <w:pStyle w:val="TableParagraph"/>
              <w:jc w:val="center"/>
              <w:cnfStyle w:val="000000100000" w:firstRow="0" w:lastRow="0" w:firstColumn="0" w:lastColumn="0" w:oddVBand="0" w:evenVBand="0" w:oddHBand="1" w:evenHBand="0" w:firstRowFirstColumn="0" w:firstRowLastColumn="0" w:lastRowFirstColumn="0" w:lastRowLastColumn="0"/>
              <w:rPr>
                <w:rFonts w:cs="Calibri"/>
                <w:szCs w:val="18"/>
              </w:rPr>
            </w:pPr>
          </w:p>
        </w:tc>
        <w:tc>
          <w:tcPr>
            <w:tcW w:w="1132" w:type="dxa"/>
            <w:vAlign w:val="center"/>
          </w:tcPr>
          <w:p w14:paraId="1CF763FE" w14:textId="77777777" w:rsidR="00183CAB" w:rsidRPr="00653A38" w:rsidRDefault="00183CAB" w:rsidP="002B176B">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p>
        </w:tc>
        <w:tc>
          <w:tcPr>
            <w:tcW w:w="950" w:type="dxa"/>
            <w:vAlign w:val="center"/>
          </w:tcPr>
          <w:p w14:paraId="59C3CA55" w14:textId="77777777" w:rsidR="00183CAB" w:rsidRPr="00653A38" w:rsidRDefault="00183CAB" w:rsidP="002B176B">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p>
        </w:tc>
        <w:tc>
          <w:tcPr>
            <w:tcW w:w="960" w:type="dxa"/>
            <w:vAlign w:val="center"/>
          </w:tcPr>
          <w:p w14:paraId="47360E86" w14:textId="77777777" w:rsidR="00183CAB" w:rsidRPr="00653A38" w:rsidRDefault="00183CAB" w:rsidP="002B176B">
            <w:pPr>
              <w:pStyle w:val="TableParagraph"/>
              <w:jc w:val="right"/>
              <w:cnfStyle w:val="000000100000" w:firstRow="0" w:lastRow="0" w:firstColumn="0" w:lastColumn="0" w:oddVBand="0" w:evenVBand="0" w:oddHBand="1" w:evenHBand="0" w:firstRowFirstColumn="0" w:firstRowLastColumn="0" w:lastRowFirstColumn="0" w:lastRowLastColumn="0"/>
              <w:rPr>
                <w:rFonts w:cs="Calibri"/>
                <w:b/>
                <w:bCs/>
                <w:szCs w:val="18"/>
              </w:rPr>
            </w:pPr>
          </w:p>
        </w:tc>
        <w:tc>
          <w:tcPr>
            <w:tcW w:w="1132" w:type="dxa"/>
            <w:vAlign w:val="center"/>
          </w:tcPr>
          <w:p w14:paraId="7FD7F6E1" w14:textId="77777777" w:rsidR="00183CAB" w:rsidRPr="00653A38" w:rsidRDefault="00183CAB" w:rsidP="002B176B">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p>
        </w:tc>
        <w:tc>
          <w:tcPr>
            <w:tcW w:w="950" w:type="dxa"/>
            <w:vAlign w:val="center"/>
          </w:tcPr>
          <w:p w14:paraId="1B270B87" w14:textId="77777777" w:rsidR="00183CAB" w:rsidRPr="00653A38" w:rsidRDefault="00183CAB" w:rsidP="002B176B">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p>
        </w:tc>
        <w:tc>
          <w:tcPr>
            <w:tcW w:w="1149" w:type="dxa"/>
            <w:vAlign w:val="center"/>
          </w:tcPr>
          <w:p w14:paraId="43F20233" w14:textId="77777777" w:rsidR="00183CAB" w:rsidRPr="00653A38" w:rsidRDefault="00183CAB" w:rsidP="002B176B">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p>
        </w:tc>
      </w:tr>
      <w:tr w:rsidR="002B176B" w:rsidRPr="00653A38" w14:paraId="2DF7F4E5" w14:textId="4C401FF4"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1F0A7309" w14:textId="1D17FBA8" w:rsidR="002B176B" w:rsidRPr="00653A38" w:rsidRDefault="002B176B" w:rsidP="002B176B">
            <w:pPr>
              <w:pStyle w:val="TableParagraph"/>
              <w:rPr>
                <w:b w:val="0"/>
                <w:bCs w:val="0"/>
                <w:szCs w:val="18"/>
              </w:rPr>
            </w:pPr>
            <w:r w:rsidRPr="00653A38">
              <w:rPr>
                <w:b w:val="0"/>
                <w:bCs w:val="0"/>
                <w:szCs w:val="18"/>
              </w:rPr>
              <w:t>Donations and legacies</w:t>
            </w:r>
          </w:p>
        </w:tc>
        <w:tc>
          <w:tcPr>
            <w:tcW w:w="815" w:type="dxa"/>
            <w:vAlign w:val="center"/>
          </w:tcPr>
          <w:p w14:paraId="6EEBDF22" w14:textId="2EE97FBF"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w:t>
            </w:r>
          </w:p>
        </w:tc>
        <w:tc>
          <w:tcPr>
            <w:tcW w:w="1132" w:type="dxa"/>
            <w:vAlign w:val="center"/>
          </w:tcPr>
          <w:p w14:paraId="761CBE89" w14:textId="4ED68EBD"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1,448,134</w:t>
            </w:r>
          </w:p>
        </w:tc>
        <w:tc>
          <w:tcPr>
            <w:tcW w:w="950" w:type="dxa"/>
            <w:vAlign w:val="center"/>
          </w:tcPr>
          <w:p w14:paraId="69DC0466" w14:textId="182EC606"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78,631</w:t>
            </w:r>
          </w:p>
        </w:tc>
        <w:tc>
          <w:tcPr>
            <w:tcW w:w="960" w:type="dxa"/>
            <w:vAlign w:val="center"/>
          </w:tcPr>
          <w:p w14:paraId="5316B20D" w14:textId="556F941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1,526,766</w:t>
            </w:r>
          </w:p>
        </w:tc>
        <w:tc>
          <w:tcPr>
            <w:tcW w:w="1132" w:type="dxa"/>
            <w:vAlign w:val="center"/>
          </w:tcPr>
          <w:p w14:paraId="6D42CCC7" w14:textId="3491343C"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2,099,019</w:t>
            </w:r>
          </w:p>
        </w:tc>
        <w:tc>
          <w:tcPr>
            <w:tcW w:w="950" w:type="dxa"/>
            <w:vAlign w:val="center"/>
          </w:tcPr>
          <w:p w14:paraId="1ED7BEB4" w14:textId="418DC1A1"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35,255</w:t>
            </w:r>
          </w:p>
        </w:tc>
        <w:tc>
          <w:tcPr>
            <w:tcW w:w="1149" w:type="dxa"/>
            <w:vAlign w:val="center"/>
          </w:tcPr>
          <w:p w14:paraId="55BBB50A" w14:textId="636F7FE6"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2,134,275</w:t>
            </w:r>
          </w:p>
        </w:tc>
      </w:tr>
      <w:tr w:rsidR="002B176B" w:rsidRPr="00653A38" w14:paraId="4B86E97D" w14:textId="1D1D1C93"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4B4AC1C" w14:textId="27CDF60C" w:rsidR="002B176B" w:rsidRPr="00653A38" w:rsidRDefault="002B176B" w:rsidP="002B176B">
            <w:pPr>
              <w:pStyle w:val="TableParagraph"/>
              <w:rPr>
                <w:b w:val="0"/>
                <w:bCs w:val="0"/>
                <w:szCs w:val="18"/>
              </w:rPr>
            </w:pPr>
            <w:r w:rsidRPr="00653A38">
              <w:rPr>
                <w:b w:val="0"/>
                <w:bCs w:val="0"/>
                <w:szCs w:val="18"/>
              </w:rPr>
              <w:t>Investments</w:t>
            </w:r>
          </w:p>
        </w:tc>
        <w:tc>
          <w:tcPr>
            <w:tcW w:w="815" w:type="dxa"/>
            <w:vAlign w:val="center"/>
          </w:tcPr>
          <w:p w14:paraId="523BAF33" w14:textId="764A238A"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4</w:t>
            </w:r>
          </w:p>
        </w:tc>
        <w:tc>
          <w:tcPr>
            <w:tcW w:w="1132" w:type="dxa"/>
            <w:tcBorders>
              <w:bottom w:val="single" w:sz="4" w:space="0" w:color="auto"/>
            </w:tcBorders>
            <w:vAlign w:val="center"/>
          </w:tcPr>
          <w:p w14:paraId="264A2654" w14:textId="15424E1C"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50,429</w:t>
            </w:r>
          </w:p>
        </w:tc>
        <w:tc>
          <w:tcPr>
            <w:tcW w:w="950" w:type="dxa"/>
            <w:tcBorders>
              <w:bottom w:val="single" w:sz="4" w:space="0" w:color="auto"/>
            </w:tcBorders>
            <w:vAlign w:val="center"/>
          </w:tcPr>
          <w:p w14:paraId="56BD0946" w14:textId="2BBB4E15"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w:t>
            </w:r>
          </w:p>
        </w:tc>
        <w:tc>
          <w:tcPr>
            <w:tcW w:w="960" w:type="dxa"/>
            <w:tcBorders>
              <w:bottom w:val="single" w:sz="4" w:space="0" w:color="auto"/>
            </w:tcBorders>
            <w:vAlign w:val="center"/>
          </w:tcPr>
          <w:p w14:paraId="00DDE203" w14:textId="4BAF4129"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50,429</w:t>
            </w:r>
          </w:p>
        </w:tc>
        <w:tc>
          <w:tcPr>
            <w:tcW w:w="1132" w:type="dxa"/>
            <w:tcBorders>
              <w:bottom w:val="single" w:sz="4" w:space="0" w:color="auto"/>
            </w:tcBorders>
            <w:vAlign w:val="center"/>
          </w:tcPr>
          <w:p w14:paraId="7E810DA3" w14:textId="1D63B151"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62,863</w:t>
            </w:r>
          </w:p>
        </w:tc>
        <w:tc>
          <w:tcPr>
            <w:tcW w:w="950" w:type="dxa"/>
            <w:tcBorders>
              <w:bottom w:val="single" w:sz="4" w:space="0" w:color="auto"/>
            </w:tcBorders>
            <w:vAlign w:val="center"/>
          </w:tcPr>
          <w:p w14:paraId="54E3709E" w14:textId="149627BA"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w:t>
            </w:r>
          </w:p>
        </w:tc>
        <w:tc>
          <w:tcPr>
            <w:tcW w:w="1149" w:type="dxa"/>
            <w:tcBorders>
              <w:bottom w:val="single" w:sz="4" w:space="0" w:color="auto"/>
            </w:tcBorders>
            <w:vAlign w:val="center"/>
          </w:tcPr>
          <w:p w14:paraId="34643BA9" w14:textId="478A83E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62,863</w:t>
            </w:r>
          </w:p>
        </w:tc>
      </w:tr>
      <w:tr w:rsidR="002B176B" w:rsidRPr="00653A38" w14:paraId="5D8F5C3A" w14:textId="04518935"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23E5D722" w14:textId="45FCDCFC" w:rsidR="002B176B" w:rsidRPr="00653A38" w:rsidRDefault="002B176B" w:rsidP="002B176B">
            <w:pPr>
              <w:pStyle w:val="TableParagraph"/>
              <w:rPr>
                <w:b w:val="0"/>
                <w:bCs w:val="0"/>
                <w:szCs w:val="18"/>
              </w:rPr>
            </w:pPr>
            <w:r w:rsidRPr="00653A38">
              <w:rPr>
                <w:b w:val="0"/>
                <w:bCs w:val="0"/>
                <w:szCs w:val="18"/>
              </w:rPr>
              <w:t>Total fundraising income</w:t>
            </w:r>
          </w:p>
        </w:tc>
        <w:tc>
          <w:tcPr>
            <w:tcW w:w="815" w:type="dxa"/>
            <w:vAlign w:val="center"/>
          </w:tcPr>
          <w:p w14:paraId="437B09BE" w14:textId="398E1025"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top w:val="single" w:sz="4" w:space="0" w:color="auto"/>
            </w:tcBorders>
            <w:vAlign w:val="center"/>
          </w:tcPr>
          <w:p w14:paraId="5ED701EA" w14:textId="1C9860AC"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1,498,563</w:t>
            </w:r>
          </w:p>
        </w:tc>
        <w:tc>
          <w:tcPr>
            <w:tcW w:w="950" w:type="dxa"/>
            <w:tcBorders>
              <w:top w:val="single" w:sz="4" w:space="0" w:color="auto"/>
            </w:tcBorders>
            <w:vAlign w:val="center"/>
          </w:tcPr>
          <w:p w14:paraId="6231A86B" w14:textId="41C4771B"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78,631</w:t>
            </w:r>
          </w:p>
        </w:tc>
        <w:tc>
          <w:tcPr>
            <w:tcW w:w="960" w:type="dxa"/>
            <w:tcBorders>
              <w:top w:val="single" w:sz="4" w:space="0" w:color="auto"/>
            </w:tcBorders>
            <w:vAlign w:val="center"/>
          </w:tcPr>
          <w:p w14:paraId="47095C51" w14:textId="6BCD81AE"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1,577,195</w:t>
            </w:r>
          </w:p>
        </w:tc>
        <w:tc>
          <w:tcPr>
            <w:tcW w:w="1132" w:type="dxa"/>
            <w:tcBorders>
              <w:top w:val="single" w:sz="4" w:space="0" w:color="auto"/>
            </w:tcBorders>
            <w:vAlign w:val="center"/>
          </w:tcPr>
          <w:p w14:paraId="7D909544" w14:textId="5D9308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2,161,882</w:t>
            </w:r>
          </w:p>
        </w:tc>
        <w:tc>
          <w:tcPr>
            <w:tcW w:w="950" w:type="dxa"/>
            <w:tcBorders>
              <w:top w:val="single" w:sz="4" w:space="0" w:color="auto"/>
            </w:tcBorders>
            <w:vAlign w:val="center"/>
          </w:tcPr>
          <w:p w14:paraId="62F74664" w14:textId="01F56ECA"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35,255</w:t>
            </w:r>
          </w:p>
        </w:tc>
        <w:tc>
          <w:tcPr>
            <w:tcW w:w="1149" w:type="dxa"/>
            <w:tcBorders>
              <w:top w:val="single" w:sz="4" w:space="0" w:color="auto"/>
            </w:tcBorders>
            <w:vAlign w:val="center"/>
          </w:tcPr>
          <w:p w14:paraId="435442BE" w14:textId="27F31D9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2,197,137</w:t>
            </w:r>
          </w:p>
        </w:tc>
      </w:tr>
      <w:tr w:rsidR="002B176B" w:rsidRPr="00653A38" w14:paraId="287F38A7" w14:textId="129159C1"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6499AEE" w14:textId="77777777" w:rsidR="002B176B" w:rsidRPr="00653A38" w:rsidRDefault="002B176B" w:rsidP="002B176B">
            <w:pPr>
              <w:pStyle w:val="TableParagraph"/>
              <w:rPr>
                <w:szCs w:val="18"/>
              </w:rPr>
            </w:pPr>
          </w:p>
        </w:tc>
        <w:tc>
          <w:tcPr>
            <w:tcW w:w="815" w:type="dxa"/>
            <w:vAlign w:val="center"/>
          </w:tcPr>
          <w:p w14:paraId="50C94EF6"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vAlign w:val="center"/>
          </w:tcPr>
          <w:p w14:paraId="0CF49DF1"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vAlign w:val="center"/>
          </w:tcPr>
          <w:p w14:paraId="55E71D8A" w14:textId="24AB92F6"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60" w:type="dxa"/>
            <w:vAlign w:val="center"/>
          </w:tcPr>
          <w:p w14:paraId="6D2CF5B6"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132" w:type="dxa"/>
            <w:vAlign w:val="center"/>
          </w:tcPr>
          <w:p w14:paraId="247D46DF"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vAlign w:val="center"/>
          </w:tcPr>
          <w:p w14:paraId="3086A746"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49" w:type="dxa"/>
            <w:vAlign w:val="center"/>
          </w:tcPr>
          <w:p w14:paraId="38CBEE7D" w14:textId="1F5E19C6"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2B176B" w:rsidRPr="00653A38" w14:paraId="1EFA5F32" w14:textId="028904E2"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281114AD" w14:textId="203A60D1" w:rsidR="002B176B" w:rsidRPr="00653A38" w:rsidRDefault="002B176B" w:rsidP="002B176B">
            <w:pPr>
              <w:pStyle w:val="TableParagraph"/>
              <w:rPr>
                <w:szCs w:val="18"/>
              </w:rPr>
            </w:pPr>
            <w:r w:rsidRPr="00653A38">
              <w:rPr>
                <w:szCs w:val="18"/>
              </w:rPr>
              <w:t>Total fundraising cost</w:t>
            </w:r>
          </w:p>
        </w:tc>
        <w:tc>
          <w:tcPr>
            <w:tcW w:w="815" w:type="dxa"/>
            <w:vAlign w:val="center"/>
          </w:tcPr>
          <w:p w14:paraId="32530418" w14:textId="77777777"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vAlign w:val="center"/>
          </w:tcPr>
          <w:p w14:paraId="245D3279" w14:textId="3FA7FC32"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color w:val="000000"/>
                <w:szCs w:val="18"/>
              </w:rPr>
              <w:t>(745,116)</w:t>
            </w:r>
          </w:p>
        </w:tc>
        <w:tc>
          <w:tcPr>
            <w:tcW w:w="950" w:type="dxa"/>
            <w:vAlign w:val="center"/>
          </w:tcPr>
          <w:p w14:paraId="35D0DEFE" w14:textId="2A82E894"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w:t>
            </w:r>
          </w:p>
        </w:tc>
        <w:tc>
          <w:tcPr>
            <w:tcW w:w="960" w:type="dxa"/>
            <w:vAlign w:val="center"/>
          </w:tcPr>
          <w:p w14:paraId="5D8D12EA" w14:textId="7B213B25"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(745,116)</w:t>
            </w:r>
          </w:p>
        </w:tc>
        <w:tc>
          <w:tcPr>
            <w:tcW w:w="1132" w:type="dxa"/>
            <w:vAlign w:val="center"/>
          </w:tcPr>
          <w:p w14:paraId="210DE99F" w14:textId="44E70249"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(486,272)</w:t>
            </w:r>
          </w:p>
        </w:tc>
        <w:tc>
          <w:tcPr>
            <w:tcW w:w="950" w:type="dxa"/>
            <w:vAlign w:val="center"/>
          </w:tcPr>
          <w:p w14:paraId="747B24A3" w14:textId="6D4F907F"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w:t>
            </w:r>
          </w:p>
        </w:tc>
        <w:tc>
          <w:tcPr>
            <w:tcW w:w="1149" w:type="dxa"/>
            <w:vAlign w:val="center"/>
          </w:tcPr>
          <w:p w14:paraId="3339829E" w14:textId="34C3208B"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(486,272)</w:t>
            </w:r>
          </w:p>
        </w:tc>
      </w:tr>
      <w:tr w:rsidR="002B176B" w:rsidRPr="00653A38" w14:paraId="7514A9B7"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283DC69" w14:textId="77777777" w:rsidR="002B176B" w:rsidRPr="00653A38" w:rsidRDefault="002B176B" w:rsidP="002B176B">
            <w:pPr>
              <w:pStyle w:val="TableParagraph"/>
              <w:rPr>
                <w:szCs w:val="18"/>
              </w:rPr>
            </w:pPr>
          </w:p>
        </w:tc>
        <w:tc>
          <w:tcPr>
            <w:tcW w:w="815" w:type="dxa"/>
            <w:vAlign w:val="center"/>
          </w:tcPr>
          <w:p w14:paraId="27AB8C2D"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tcBorders>
              <w:bottom w:val="single" w:sz="4" w:space="0" w:color="auto"/>
            </w:tcBorders>
            <w:vAlign w:val="center"/>
          </w:tcPr>
          <w:p w14:paraId="7B2D60A1"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tcBorders>
              <w:bottom w:val="single" w:sz="4" w:space="0" w:color="auto"/>
            </w:tcBorders>
            <w:vAlign w:val="center"/>
          </w:tcPr>
          <w:p w14:paraId="4D52412C"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60" w:type="dxa"/>
            <w:tcBorders>
              <w:bottom w:val="single" w:sz="4" w:space="0" w:color="auto"/>
            </w:tcBorders>
            <w:vAlign w:val="center"/>
          </w:tcPr>
          <w:p w14:paraId="447A5078"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132" w:type="dxa"/>
            <w:tcBorders>
              <w:bottom w:val="single" w:sz="4" w:space="0" w:color="auto"/>
            </w:tcBorders>
            <w:vAlign w:val="center"/>
          </w:tcPr>
          <w:p w14:paraId="49134FFD"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tcBorders>
              <w:bottom w:val="single" w:sz="4" w:space="0" w:color="auto"/>
            </w:tcBorders>
            <w:vAlign w:val="center"/>
          </w:tcPr>
          <w:p w14:paraId="18B7CD89"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49" w:type="dxa"/>
            <w:tcBorders>
              <w:bottom w:val="single" w:sz="4" w:space="0" w:color="auto"/>
            </w:tcBorders>
            <w:vAlign w:val="center"/>
          </w:tcPr>
          <w:p w14:paraId="5E54C4F4" w14:textId="780F740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2B176B" w:rsidRPr="00653A38" w14:paraId="4CDD67DA"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0D7C6A6C" w14:textId="17D527BA" w:rsidR="002B176B" w:rsidRPr="00653A38" w:rsidRDefault="002B176B" w:rsidP="002B176B">
            <w:pPr>
              <w:pStyle w:val="TableParagraph"/>
              <w:rPr>
                <w:szCs w:val="18"/>
              </w:rPr>
            </w:pPr>
            <w:r w:rsidRPr="00653A38">
              <w:rPr>
                <w:szCs w:val="18"/>
              </w:rPr>
              <w:t>Fundraising contribution</w:t>
            </w:r>
          </w:p>
        </w:tc>
        <w:tc>
          <w:tcPr>
            <w:tcW w:w="815" w:type="dxa"/>
            <w:vAlign w:val="center"/>
          </w:tcPr>
          <w:p w14:paraId="790B5F76" w14:textId="1A0E1DD5"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top w:val="single" w:sz="4" w:space="0" w:color="auto"/>
              <w:bottom w:val="single" w:sz="4" w:space="0" w:color="auto"/>
            </w:tcBorders>
            <w:vAlign w:val="center"/>
          </w:tcPr>
          <w:p w14:paraId="445A34D8" w14:textId="332E6766"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753,447</w:t>
            </w:r>
          </w:p>
        </w:tc>
        <w:tc>
          <w:tcPr>
            <w:tcW w:w="950" w:type="dxa"/>
            <w:tcBorders>
              <w:top w:val="single" w:sz="4" w:space="0" w:color="auto"/>
              <w:bottom w:val="single" w:sz="4" w:space="0" w:color="auto"/>
            </w:tcBorders>
            <w:vAlign w:val="center"/>
          </w:tcPr>
          <w:p w14:paraId="3D3874F6" w14:textId="67C8AB95"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78,631</w:t>
            </w:r>
          </w:p>
        </w:tc>
        <w:tc>
          <w:tcPr>
            <w:tcW w:w="960" w:type="dxa"/>
            <w:tcBorders>
              <w:top w:val="single" w:sz="4" w:space="0" w:color="auto"/>
              <w:bottom w:val="single" w:sz="4" w:space="0" w:color="auto"/>
            </w:tcBorders>
            <w:vAlign w:val="center"/>
          </w:tcPr>
          <w:p w14:paraId="289B8E0C" w14:textId="6B0F4E40"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832,078</w:t>
            </w:r>
          </w:p>
        </w:tc>
        <w:tc>
          <w:tcPr>
            <w:tcW w:w="1132" w:type="dxa"/>
            <w:tcBorders>
              <w:top w:val="single" w:sz="4" w:space="0" w:color="auto"/>
              <w:bottom w:val="single" w:sz="4" w:space="0" w:color="auto"/>
            </w:tcBorders>
            <w:vAlign w:val="center"/>
          </w:tcPr>
          <w:p w14:paraId="46AA51B8" w14:textId="57800DAE"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1,675,610</w:t>
            </w:r>
          </w:p>
        </w:tc>
        <w:tc>
          <w:tcPr>
            <w:tcW w:w="950" w:type="dxa"/>
            <w:tcBorders>
              <w:top w:val="single" w:sz="4" w:space="0" w:color="auto"/>
              <w:bottom w:val="single" w:sz="4" w:space="0" w:color="auto"/>
            </w:tcBorders>
            <w:vAlign w:val="center"/>
          </w:tcPr>
          <w:p w14:paraId="20B86802" w14:textId="328F0F59"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35,255</w:t>
            </w:r>
          </w:p>
        </w:tc>
        <w:tc>
          <w:tcPr>
            <w:tcW w:w="1149" w:type="dxa"/>
            <w:tcBorders>
              <w:top w:val="single" w:sz="4" w:space="0" w:color="auto"/>
              <w:bottom w:val="single" w:sz="4" w:space="0" w:color="auto"/>
            </w:tcBorders>
            <w:vAlign w:val="center"/>
          </w:tcPr>
          <w:p w14:paraId="5D7AD8D6" w14:textId="3CC4438C"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1,710,865</w:t>
            </w:r>
          </w:p>
        </w:tc>
      </w:tr>
      <w:tr w:rsidR="002B176B" w:rsidRPr="00653A38" w14:paraId="732EF3C8"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8197112" w14:textId="77777777" w:rsidR="002B176B" w:rsidRPr="00653A38" w:rsidRDefault="002B176B" w:rsidP="002B176B">
            <w:pPr>
              <w:pStyle w:val="TableParagraph"/>
              <w:rPr>
                <w:szCs w:val="18"/>
              </w:rPr>
            </w:pPr>
          </w:p>
        </w:tc>
        <w:tc>
          <w:tcPr>
            <w:tcW w:w="815" w:type="dxa"/>
            <w:vAlign w:val="center"/>
          </w:tcPr>
          <w:p w14:paraId="23138261" w14:textId="2A9B254F"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tcBorders>
              <w:top w:val="single" w:sz="4" w:space="0" w:color="auto"/>
            </w:tcBorders>
            <w:vAlign w:val="center"/>
          </w:tcPr>
          <w:p w14:paraId="3E7D779D" w14:textId="576788CD"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c>
          <w:tcPr>
            <w:tcW w:w="950" w:type="dxa"/>
            <w:tcBorders>
              <w:top w:val="single" w:sz="4" w:space="0" w:color="auto"/>
            </w:tcBorders>
            <w:vAlign w:val="center"/>
          </w:tcPr>
          <w:p w14:paraId="57D1D43F" w14:textId="7DA30EAF"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c>
          <w:tcPr>
            <w:tcW w:w="960" w:type="dxa"/>
            <w:tcBorders>
              <w:top w:val="single" w:sz="4" w:space="0" w:color="auto"/>
            </w:tcBorders>
            <w:vAlign w:val="center"/>
          </w:tcPr>
          <w:p w14:paraId="4972D366" w14:textId="3FE0DDA2"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 </w:t>
            </w:r>
          </w:p>
        </w:tc>
        <w:tc>
          <w:tcPr>
            <w:tcW w:w="1132" w:type="dxa"/>
            <w:tcBorders>
              <w:top w:val="single" w:sz="4" w:space="0" w:color="auto"/>
            </w:tcBorders>
            <w:vAlign w:val="center"/>
          </w:tcPr>
          <w:p w14:paraId="7FE0A22B" w14:textId="08BB75BC"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c>
          <w:tcPr>
            <w:tcW w:w="950" w:type="dxa"/>
            <w:tcBorders>
              <w:top w:val="single" w:sz="4" w:space="0" w:color="auto"/>
            </w:tcBorders>
            <w:vAlign w:val="center"/>
          </w:tcPr>
          <w:p w14:paraId="727CDE11" w14:textId="15851F6A"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c>
          <w:tcPr>
            <w:tcW w:w="1149" w:type="dxa"/>
            <w:tcBorders>
              <w:top w:val="single" w:sz="4" w:space="0" w:color="auto"/>
            </w:tcBorders>
            <w:vAlign w:val="center"/>
          </w:tcPr>
          <w:p w14:paraId="3B6029C3" w14:textId="50601D89"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r>
      <w:tr w:rsidR="002B176B" w:rsidRPr="00653A38" w14:paraId="38E36338"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56723F2C" w14:textId="6EDC2D17" w:rsidR="002B176B" w:rsidRPr="00653A38" w:rsidRDefault="002B176B" w:rsidP="002B176B">
            <w:pPr>
              <w:pStyle w:val="TableParagraph"/>
              <w:rPr>
                <w:b w:val="0"/>
                <w:bCs w:val="0"/>
                <w:szCs w:val="18"/>
              </w:rPr>
            </w:pPr>
            <w:r w:rsidRPr="00653A38">
              <w:rPr>
                <w:b w:val="0"/>
                <w:bCs w:val="0"/>
                <w:szCs w:val="18"/>
              </w:rPr>
              <w:t>Trading income</w:t>
            </w:r>
          </w:p>
        </w:tc>
        <w:tc>
          <w:tcPr>
            <w:tcW w:w="815" w:type="dxa"/>
            <w:vAlign w:val="center"/>
          </w:tcPr>
          <w:p w14:paraId="77EE4CE1" w14:textId="1F811BBF"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w:t>
            </w:r>
          </w:p>
        </w:tc>
        <w:tc>
          <w:tcPr>
            <w:tcW w:w="1132" w:type="dxa"/>
            <w:vAlign w:val="center"/>
          </w:tcPr>
          <w:p w14:paraId="0C084209" w14:textId="37122FBA"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645,434</w:t>
            </w:r>
          </w:p>
        </w:tc>
        <w:tc>
          <w:tcPr>
            <w:tcW w:w="950" w:type="dxa"/>
            <w:vAlign w:val="center"/>
          </w:tcPr>
          <w:p w14:paraId="5069863A" w14:textId="4FBDB50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w:t>
            </w:r>
          </w:p>
        </w:tc>
        <w:tc>
          <w:tcPr>
            <w:tcW w:w="960" w:type="dxa"/>
            <w:vAlign w:val="center"/>
          </w:tcPr>
          <w:p w14:paraId="2B5DBC43" w14:textId="3BD6D22B"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645,434</w:t>
            </w:r>
          </w:p>
        </w:tc>
        <w:tc>
          <w:tcPr>
            <w:tcW w:w="1132" w:type="dxa"/>
            <w:vAlign w:val="center"/>
          </w:tcPr>
          <w:p w14:paraId="5CACA5DD" w14:textId="3B49826E"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1,035,402</w:t>
            </w:r>
          </w:p>
        </w:tc>
        <w:tc>
          <w:tcPr>
            <w:tcW w:w="950" w:type="dxa"/>
            <w:vAlign w:val="center"/>
          </w:tcPr>
          <w:p w14:paraId="25295D50" w14:textId="0E1D8264"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w:t>
            </w:r>
          </w:p>
        </w:tc>
        <w:tc>
          <w:tcPr>
            <w:tcW w:w="1149" w:type="dxa"/>
            <w:vAlign w:val="center"/>
          </w:tcPr>
          <w:p w14:paraId="3EED83BB" w14:textId="212AD615"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1,035,402</w:t>
            </w:r>
          </w:p>
        </w:tc>
      </w:tr>
      <w:tr w:rsidR="002B176B" w:rsidRPr="00653A38" w14:paraId="4B78000D"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7CD788B" w14:textId="2EF975F5" w:rsidR="002B176B" w:rsidRPr="00653A38" w:rsidRDefault="002B176B" w:rsidP="002B176B">
            <w:pPr>
              <w:pStyle w:val="TableParagraph"/>
              <w:rPr>
                <w:b w:val="0"/>
                <w:bCs w:val="0"/>
                <w:szCs w:val="18"/>
              </w:rPr>
            </w:pPr>
            <w:r w:rsidRPr="00653A38">
              <w:rPr>
                <w:b w:val="0"/>
                <w:bCs w:val="0"/>
                <w:szCs w:val="18"/>
              </w:rPr>
              <w:t>Trading expenditure</w:t>
            </w:r>
          </w:p>
        </w:tc>
        <w:tc>
          <w:tcPr>
            <w:tcW w:w="815" w:type="dxa"/>
            <w:vAlign w:val="center"/>
          </w:tcPr>
          <w:p w14:paraId="20965D1E"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vAlign w:val="center"/>
          </w:tcPr>
          <w:p w14:paraId="437EFBAD" w14:textId="1D1FF44C"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(1,043,691)</w:t>
            </w:r>
          </w:p>
        </w:tc>
        <w:tc>
          <w:tcPr>
            <w:tcW w:w="950" w:type="dxa"/>
            <w:vAlign w:val="center"/>
          </w:tcPr>
          <w:p w14:paraId="39D772D0" w14:textId="6DEBC366"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w:t>
            </w:r>
          </w:p>
        </w:tc>
        <w:tc>
          <w:tcPr>
            <w:tcW w:w="960" w:type="dxa"/>
            <w:vAlign w:val="center"/>
          </w:tcPr>
          <w:p w14:paraId="08A9656C" w14:textId="08B41E50"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(1,043,691)</w:t>
            </w:r>
          </w:p>
        </w:tc>
        <w:tc>
          <w:tcPr>
            <w:tcW w:w="1132" w:type="dxa"/>
            <w:vAlign w:val="center"/>
          </w:tcPr>
          <w:p w14:paraId="77F6E570" w14:textId="00FB991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(977,464)</w:t>
            </w:r>
          </w:p>
        </w:tc>
        <w:tc>
          <w:tcPr>
            <w:tcW w:w="950" w:type="dxa"/>
            <w:vAlign w:val="center"/>
          </w:tcPr>
          <w:p w14:paraId="3339B5F9" w14:textId="4F2CB968"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w:t>
            </w:r>
          </w:p>
        </w:tc>
        <w:tc>
          <w:tcPr>
            <w:tcW w:w="1149" w:type="dxa"/>
            <w:vAlign w:val="center"/>
          </w:tcPr>
          <w:p w14:paraId="4806E47A" w14:textId="0363B7C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(977,464)</w:t>
            </w:r>
          </w:p>
        </w:tc>
      </w:tr>
      <w:tr w:rsidR="002B176B" w:rsidRPr="00653A38" w14:paraId="42E79D26"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1581CD73" w14:textId="03A8211F" w:rsidR="002B176B" w:rsidRPr="00653A38" w:rsidRDefault="002B176B" w:rsidP="002B176B">
            <w:pPr>
              <w:pStyle w:val="TableParagraph"/>
              <w:rPr>
                <w:b w:val="0"/>
                <w:bCs w:val="0"/>
                <w:szCs w:val="18"/>
              </w:rPr>
            </w:pPr>
            <w:r w:rsidRPr="00653A38">
              <w:rPr>
                <w:b w:val="0"/>
                <w:bCs w:val="0"/>
                <w:szCs w:val="18"/>
              </w:rPr>
              <w:t>Tax receivable / (payable)</w:t>
            </w:r>
          </w:p>
        </w:tc>
        <w:tc>
          <w:tcPr>
            <w:tcW w:w="815" w:type="dxa"/>
            <w:vAlign w:val="center"/>
          </w:tcPr>
          <w:p w14:paraId="2FB3621C" w14:textId="77777777"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bottom w:val="single" w:sz="4" w:space="0" w:color="auto"/>
            </w:tcBorders>
            <w:vAlign w:val="center"/>
          </w:tcPr>
          <w:p w14:paraId="0FC7A1E5" w14:textId="01D1B183"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24,287</w:t>
            </w:r>
          </w:p>
        </w:tc>
        <w:tc>
          <w:tcPr>
            <w:tcW w:w="950" w:type="dxa"/>
            <w:tcBorders>
              <w:bottom w:val="single" w:sz="4" w:space="0" w:color="auto"/>
            </w:tcBorders>
            <w:vAlign w:val="center"/>
          </w:tcPr>
          <w:p w14:paraId="59425C3E"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0" w:type="dxa"/>
            <w:tcBorders>
              <w:bottom w:val="single" w:sz="4" w:space="0" w:color="auto"/>
            </w:tcBorders>
            <w:vAlign w:val="center"/>
          </w:tcPr>
          <w:p w14:paraId="73758697" w14:textId="6493AEA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24,287</w:t>
            </w:r>
          </w:p>
        </w:tc>
        <w:tc>
          <w:tcPr>
            <w:tcW w:w="1132" w:type="dxa"/>
            <w:tcBorders>
              <w:bottom w:val="single" w:sz="4" w:space="0" w:color="auto"/>
            </w:tcBorders>
            <w:vAlign w:val="center"/>
          </w:tcPr>
          <w:p w14:paraId="25E70687" w14:textId="10A02220"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(24,287)</w:t>
            </w:r>
          </w:p>
        </w:tc>
        <w:tc>
          <w:tcPr>
            <w:tcW w:w="950" w:type="dxa"/>
            <w:tcBorders>
              <w:bottom w:val="single" w:sz="4" w:space="0" w:color="auto"/>
            </w:tcBorders>
            <w:vAlign w:val="center"/>
          </w:tcPr>
          <w:p w14:paraId="25D82502"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49" w:type="dxa"/>
            <w:tcBorders>
              <w:bottom w:val="single" w:sz="4" w:space="0" w:color="auto"/>
            </w:tcBorders>
            <w:vAlign w:val="center"/>
          </w:tcPr>
          <w:p w14:paraId="70107865" w14:textId="238E0019"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(24,287)</w:t>
            </w:r>
          </w:p>
        </w:tc>
      </w:tr>
      <w:tr w:rsidR="002B176B" w:rsidRPr="00653A38" w14:paraId="5F9DC9DE"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4AA3D5B" w14:textId="4AC25A7F" w:rsidR="002B176B" w:rsidRPr="00653A38" w:rsidRDefault="002B176B" w:rsidP="002B176B">
            <w:pPr>
              <w:pStyle w:val="TableParagraph"/>
              <w:rPr>
                <w:szCs w:val="18"/>
              </w:rPr>
            </w:pPr>
            <w:r w:rsidRPr="00653A38">
              <w:rPr>
                <w:szCs w:val="18"/>
              </w:rPr>
              <w:t>Contribution from trading activities</w:t>
            </w:r>
          </w:p>
        </w:tc>
        <w:tc>
          <w:tcPr>
            <w:tcW w:w="815" w:type="dxa"/>
            <w:vAlign w:val="center"/>
          </w:tcPr>
          <w:p w14:paraId="0200A993" w14:textId="1CF312A1"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tcBorders>
              <w:top w:val="single" w:sz="4" w:space="0" w:color="auto"/>
              <w:bottom w:val="single" w:sz="4" w:space="0" w:color="auto"/>
            </w:tcBorders>
            <w:vAlign w:val="center"/>
          </w:tcPr>
          <w:p w14:paraId="6E7613E3" w14:textId="3136C84C"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(373,969)</w:t>
            </w:r>
          </w:p>
        </w:tc>
        <w:tc>
          <w:tcPr>
            <w:tcW w:w="950" w:type="dxa"/>
            <w:tcBorders>
              <w:top w:val="single" w:sz="4" w:space="0" w:color="auto"/>
              <w:bottom w:val="single" w:sz="4" w:space="0" w:color="auto"/>
            </w:tcBorders>
            <w:vAlign w:val="center"/>
          </w:tcPr>
          <w:p w14:paraId="07F99A1C" w14:textId="553B9146"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w:t>
            </w:r>
          </w:p>
        </w:tc>
        <w:tc>
          <w:tcPr>
            <w:tcW w:w="960" w:type="dxa"/>
            <w:tcBorders>
              <w:top w:val="single" w:sz="4" w:space="0" w:color="auto"/>
              <w:bottom w:val="single" w:sz="4" w:space="0" w:color="auto"/>
            </w:tcBorders>
            <w:vAlign w:val="center"/>
          </w:tcPr>
          <w:p w14:paraId="6268A7AC" w14:textId="7F7B6F28"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(373,969)</w:t>
            </w:r>
          </w:p>
        </w:tc>
        <w:tc>
          <w:tcPr>
            <w:tcW w:w="1132" w:type="dxa"/>
            <w:tcBorders>
              <w:top w:val="single" w:sz="4" w:space="0" w:color="auto"/>
              <w:bottom w:val="single" w:sz="4" w:space="0" w:color="auto"/>
            </w:tcBorders>
            <w:vAlign w:val="center"/>
          </w:tcPr>
          <w:p w14:paraId="57B2FA28" w14:textId="4AF41E63"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33,650</w:t>
            </w:r>
          </w:p>
        </w:tc>
        <w:tc>
          <w:tcPr>
            <w:tcW w:w="950" w:type="dxa"/>
            <w:tcBorders>
              <w:top w:val="single" w:sz="4" w:space="0" w:color="auto"/>
              <w:bottom w:val="single" w:sz="4" w:space="0" w:color="auto"/>
            </w:tcBorders>
            <w:vAlign w:val="center"/>
          </w:tcPr>
          <w:p w14:paraId="405B38D9" w14:textId="0813D9D8"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w:t>
            </w:r>
          </w:p>
        </w:tc>
        <w:tc>
          <w:tcPr>
            <w:tcW w:w="1149" w:type="dxa"/>
            <w:tcBorders>
              <w:top w:val="single" w:sz="4" w:space="0" w:color="auto"/>
              <w:bottom w:val="single" w:sz="4" w:space="0" w:color="auto"/>
            </w:tcBorders>
            <w:vAlign w:val="center"/>
          </w:tcPr>
          <w:p w14:paraId="06A0BDCB" w14:textId="19A67868"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33,650</w:t>
            </w:r>
          </w:p>
        </w:tc>
      </w:tr>
      <w:tr w:rsidR="002B176B" w:rsidRPr="00653A38" w14:paraId="16A993C1"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7438912C" w14:textId="77777777" w:rsidR="002B176B" w:rsidRPr="00653A38" w:rsidRDefault="002B176B" w:rsidP="002B176B">
            <w:pPr>
              <w:pStyle w:val="TableParagraph"/>
              <w:rPr>
                <w:szCs w:val="18"/>
              </w:rPr>
            </w:pPr>
          </w:p>
        </w:tc>
        <w:tc>
          <w:tcPr>
            <w:tcW w:w="815" w:type="dxa"/>
            <w:vAlign w:val="center"/>
          </w:tcPr>
          <w:p w14:paraId="3926365A" w14:textId="341E768B"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top w:val="single" w:sz="4" w:space="0" w:color="auto"/>
            </w:tcBorders>
            <w:vAlign w:val="center"/>
          </w:tcPr>
          <w:p w14:paraId="09FFEDCB" w14:textId="12C66DBC"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c>
          <w:tcPr>
            <w:tcW w:w="950" w:type="dxa"/>
            <w:tcBorders>
              <w:top w:val="single" w:sz="4" w:space="0" w:color="auto"/>
            </w:tcBorders>
            <w:vAlign w:val="center"/>
          </w:tcPr>
          <w:p w14:paraId="01CA7749" w14:textId="1870A07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c>
          <w:tcPr>
            <w:tcW w:w="960" w:type="dxa"/>
            <w:tcBorders>
              <w:top w:val="single" w:sz="4" w:space="0" w:color="auto"/>
            </w:tcBorders>
            <w:vAlign w:val="center"/>
          </w:tcPr>
          <w:p w14:paraId="1EC25A57" w14:textId="39CDF670"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 </w:t>
            </w:r>
          </w:p>
        </w:tc>
        <w:tc>
          <w:tcPr>
            <w:tcW w:w="1132" w:type="dxa"/>
            <w:tcBorders>
              <w:top w:val="single" w:sz="4" w:space="0" w:color="auto"/>
            </w:tcBorders>
            <w:vAlign w:val="center"/>
          </w:tcPr>
          <w:p w14:paraId="11D52406" w14:textId="527F382B"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c>
          <w:tcPr>
            <w:tcW w:w="950" w:type="dxa"/>
            <w:tcBorders>
              <w:top w:val="single" w:sz="4" w:space="0" w:color="auto"/>
            </w:tcBorders>
            <w:vAlign w:val="center"/>
          </w:tcPr>
          <w:p w14:paraId="2CD38B08" w14:textId="48F6721B"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c>
          <w:tcPr>
            <w:tcW w:w="1149" w:type="dxa"/>
            <w:tcBorders>
              <w:top w:val="single" w:sz="4" w:space="0" w:color="auto"/>
            </w:tcBorders>
            <w:vAlign w:val="center"/>
          </w:tcPr>
          <w:p w14:paraId="4A897711" w14:textId="2265DF89"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r>
      <w:tr w:rsidR="002B176B" w:rsidRPr="00653A38" w14:paraId="38C480EB"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AE1DD9C" w14:textId="59F1814C" w:rsidR="002B176B" w:rsidRPr="00653A38" w:rsidRDefault="002B176B" w:rsidP="002B176B">
            <w:pPr>
              <w:pStyle w:val="TableParagraph"/>
              <w:rPr>
                <w:szCs w:val="18"/>
              </w:rPr>
            </w:pPr>
            <w:r w:rsidRPr="00653A38">
              <w:rPr>
                <w:szCs w:val="18"/>
              </w:rPr>
              <w:t>Funds available for charitable activities</w:t>
            </w:r>
          </w:p>
        </w:tc>
        <w:tc>
          <w:tcPr>
            <w:tcW w:w="815" w:type="dxa"/>
            <w:vAlign w:val="center"/>
          </w:tcPr>
          <w:p w14:paraId="05FF83AA"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vAlign w:val="center"/>
          </w:tcPr>
          <w:p w14:paraId="366ACA01" w14:textId="7ED1DFF0"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379,478</w:t>
            </w:r>
          </w:p>
        </w:tc>
        <w:tc>
          <w:tcPr>
            <w:tcW w:w="950" w:type="dxa"/>
            <w:vAlign w:val="center"/>
          </w:tcPr>
          <w:p w14:paraId="227AC591" w14:textId="5488EFF9"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78,631</w:t>
            </w:r>
          </w:p>
        </w:tc>
        <w:tc>
          <w:tcPr>
            <w:tcW w:w="960" w:type="dxa"/>
            <w:vAlign w:val="center"/>
          </w:tcPr>
          <w:p w14:paraId="46536F18" w14:textId="246B11FA"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458,109</w:t>
            </w:r>
          </w:p>
        </w:tc>
        <w:tc>
          <w:tcPr>
            <w:tcW w:w="1132" w:type="dxa"/>
            <w:vAlign w:val="center"/>
          </w:tcPr>
          <w:p w14:paraId="041ABE01" w14:textId="3A9D7A9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1,709,260</w:t>
            </w:r>
          </w:p>
        </w:tc>
        <w:tc>
          <w:tcPr>
            <w:tcW w:w="950" w:type="dxa"/>
            <w:vAlign w:val="center"/>
          </w:tcPr>
          <w:p w14:paraId="0D8FEC98" w14:textId="4674B35E"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35,255</w:t>
            </w:r>
          </w:p>
        </w:tc>
        <w:tc>
          <w:tcPr>
            <w:tcW w:w="1149" w:type="dxa"/>
            <w:vAlign w:val="center"/>
          </w:tcPr>
          <w:p w14:paraId="65744694" w14:textId="010AA03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1,744,516</w:t>
            </w:r>
          </w:p>
        </w:tc>
      </w:tr>
      <w:tr w:rsidR="002B176B" w:rsidRPr="00653A38" w14:paraId="364E161C"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12A8EE40" w14:textId="77777777" w:rsidR="002B176B" w:rsidRPr="00653A38" w:rsidRDefault="002B176B" w:rsidP="002B176B">
            <w:pPr>
              <w:pStyle w:val="TableParagraph"/>
              <w:rPr>
                <w:szCs w:val="18"/>
              </w:rPr>
            </w:pPr>
          </w:p>
        </w:tc>
        <w:tc>
          <w:tcPr>
            <w:tcW w:w="815" w:type="dxa"/>
            <w:vAlign w:val="center"/>
          </w:tcPr>
          <w:p w14:paraId="75C8B7F5" w14:textId="77777777"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vAlign w:val="center"/>
          </w:tcPr>
          <w:p w14:paraId="30462060"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50" w:type="dxa"/>
            <w:vAlign w:val="center"/>
          </w:tcPr>
          <w:p w14:paraId="091A8762"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0" w:type="dxa"/>
            <w:vAlign w:val="center"/>
          </w:tcPr>
          <w:p w14:paraId="7ABAB559"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132" w:type="dxa"/>
            <w:vAlign w:val="center"/>
          </w:tcPr>
          <w:p w14:paraId="181D9DA5"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50" w:type="dxa"/>
            <w:vAlign w:val="center"/>
          </w:tcPr>
          <w:p w14:paraId="76F282AF"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49" w:type="dxa"/>
            <w:vAlign w:val="center"/>
          </w:tcPr>
          <w:p w14:paraId="508C6D68" w14:textId="71BD9A6E"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2B176B" w:rsidRPr="00653A38" w14:paraId="370DF213"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21DFC99" w14:textId="174F8AC1" w:rsidR="002B176B" w:rsidRPr="00653A38" w:rsidRDefault="002B176B" w:rsidP="002B176B">
            <w:pPr>
              <w:pStyle w:val="TableParagraph"/>
              <w:rPr>
                <w:szCs w:val="18"/>
              </w:rPr>
            </w:pPr>
            <w:r w:rsidRPr="00653A38">
              <w:rPr>
                <w:szCs w:val="18"/>
              </w:rPr>
              <w:t>Total charitable expenditure</w:t>
            </w:r>
          </w:p>
        </w:tc>
        <w:tc>
          <w:tcPr>
            <w:tcW w:w="815" w:type="dxa"/>
            <w:vAlign w:val="center"/>
          </w:tcPr>
          <w:p w14:paraId="23704676"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vAlign w:val="center"/>
          </w:tcPr>
          <w:p w14:paraId="254BDE48" w14:textId="0612060D"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(759,422)</w:t>
            </w:r>
          </w:p>
        </w:tc>
        <w:tc>
          <w:tcPr>
            <w:tcW w:w="950" w:type="dxa"/>
            <w:vAlign w:val="center"/>
          </w:tcPr>
          <w:p w14:paraId="5FFD09A1" w14:textId="7C7EDF96"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(84,343)</w:t>
            </w:r>
          </w:p>
        </w:tc>
        <w:tc>
          <w:tcPr>
            <w:tcW w:w="960" w:type="dxa"/>
            <w:vAlign w:val="center"/>
          </w:tcPr>
          <w:p w14:paraId="5BE9492C" w14:textId="2A54668B"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(843,765)</w:t>
            </w:r>
          </w:p>
        </w:tc>
        <w:tc>
          <w:tcPr>
            <w:tcW w:w="1132" w:type="dxa"/>
            <w:vAlign w:val="center"/>
          </w:tcPr>
          <w:p w14:paraId="344D7D92" w14:textId="02EEAF74"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(2,047,883)</w:t>
            </w:r>
          </w:p>
        </w:tc>
        <w:tc>
          <w:tcPr>
            <w:tcW w:w="950" w:type="dxa"/>
            <w:vAlign w:val="center"/>
          </w:tcPr>
          <w:p w14:paraId="249A022B" w14:textId="19CD9729"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(28,125)</w:t>
            </w:r>
          </w:p>
        </w:tc>
        <w:tc>
          <w:tcPr>
            <w:tcW w:w="1149" w:type="dxa"/>
            <w:vAlign w:val="center"/>
          </w:tcPr>
          <w:p w14:paraId="4351E012" w14:textId="0FB0FD3B"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(2,076,008)</w:t>
            </w:r>
          </w:p>
        </w:tc>
      </w:tr>
      <w:tr w:rsidR="002B176B" w:rsidRPr="00653A38" w14:paraId="4EA14DAA"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24B970E8" w14:textId="77777777" w:rsidR="002B176B" w:rsidRPr="00653A38" w:rsidRDefault="002B176B" w:rsidP="002B176B">
            <w:pPr>
              <w:pStyle w:val="TableParagraph"/>
              <w:rPr>
                <w:szCs w:val="18"/>
              </w:rPr>
            </w:pPr>
          </w:p>
        </w:tc>
        <w:tc>
          <w:tcPr>
            <w:tcW w:w="815" w:type="dxa"/>
            <w:vAlign w:val="center"/>
          </w:tcPr>
          <w:p w14:paraId="792D40EE" w14:textId="77777777"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bottom w:val="single" w:sz="4" w:space="0" w:color="auto"/>
            </w:tcBorders>
            <w:vAlign w:val="center"/>
          </w:tcPr>
          <w:p w14:paraId="5820E3B2"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50" w:type="dxa"/>
            <w:tcBorders>
              <w:bottom w:val="single" w:sz="4" w:space="0" w:color="auto"/>
            </w:tcBorders>
            <w:vAlign w:val="center"/>
          </w:tcPr>
          <w:p w14:paraId="2C339643"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0" w:type="dxa"/>
            <w:tcBorders>
              <w:bottom w:val="single" w:sz="4" w:space="0" w:color="auto"/>
            </w:tcBorders>
            <w:vAlign w:val="center"/>
          </w:tcPr>
          <w:p w14:paraId="0A08B815"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132" w:type="dxa"/>
            <w:tcBorders>
              <w:bottom w:val="single" w:sz="4" w:space="0" w:color="auto"/>
            </w:tcBorders>
            <w:vAlign w:val="center"/>
          </w:tcPr>
          <w:p w14:paraId="617FD893"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50" w:type="dxa"/>
            <w:tcBorders>
              <w:bottom w:val="single" w:sz="4" w:space="0" w:color="auto"/>
            </w:tcBorders>
            <w:vAlign w:val="center"/>
          </w:tcPr>
          <w:p w14:paraId="4002A307"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49" w:type="dxa"/>
            <w:tcBorders>
              <w:bottom w:val="single" w:sz="4" w:space="0" w:color="auto"/>
            </w:tcBorders>
            <w:vAlign w:val="center"/>
          </w:tcPr>
          <w:p w14:paraId="40350F86" w14:textId="11DA60D4"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2B176B" w:rsidRPr="00653A38" w14:paraId="2B8D2431"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6240577" w14:textId="1DCFBF48" w:rsidR="002B176B" w:rsidRPr="00653A38" w:rsidRDefault="002B176B" w:rsidP="002B176B">
            <w:pPr>
              <w:pStyle w:val="TableParagraph"/>
              <w:rPr>
                <w:szCs w:val="18"/>
              </w:rPr>
            </w:pPr>
            <w:r w:rsidRPr="00653A38">
              <w:rPr>
                <w:szCs w:val="18"/>
              </w:rPr>
              <w:t>Net income before (loss)/gain on investments</w:t>
            </w:r>
          </w:p>
        </w:tc>
        <w:tc>
          <w:tcPr>
            <w:tcW w:w="815" w:type="dxa"/>
            <w:vAlign w:val="center"/>
          </w:tcPr>
          <w:p w14:paraId="4EF27E92" w14:textId="0FB673FD"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tcBorders>
              <w:top w:val="single" w:sz="4" w:space="0" w:color="auto"/>
              <w:bottom w:val="single" w:sz="4" w:space="0" w:color="auto"/>
            </w:tcBorders>
            <w:vAlign w:val="center"/>
          </w:tcPr>
          <w:p w14:paraId="47EE86CC" w14:textId="73964D6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(379,944)</w:t>
            </w:r>
          </w:p>
        </w:tc>
        <w:tc>
          <w:tcPr>
            <w:tcW w:w="950" w:type="dxa"/>
            <w:tcBorders>
              <w:top w:val="single" w:sz="4" w:space="0" w:color="auto"/>
              <w:bottom w:val="single" w:sz="4" w:space="0" w:color="auto"/>
            </w:tcBorders>
            <w:vAlign w:val="center"/>
          </w:tcPr>
          <w:p w14:paraId="79D787E5" w14:textId="58E26118"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(5,712)</w:t>
            </w:r>
          </w:p>
        </w:tc>
        <w:tc>
          <w:tcPr>
            <w:tcW w:w="960" w:type="dxa"/>
            <w:tcBorders>
              <w:top w:val="single" w:sz="4" w:space="0" w:color="auto"/>
              <w:bottom w:val="single" w:sz="4" w:space="0" w:color="auto"/>
            </w:tcBorders>
            <w:vAlign w:val="center"/>
          </w:tcPr>
          <w:p w14:paraId="0028839E" w14:textId="2A90FC10"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(385,656)</w:t>
            </w:r>
          </w:p>
        </w:tc>
        <w:tc>
          <w:tcPr>
            <w:tcW w:w="1132" w:type="dxa"/>
            <w:tcBorders>
              <w:top w:val="single" w:sz="4" w:space="0" w:color="auto"/>
              <w:bottom w:val="single" w:sz="4" w:space="0" w:color="auto"/>
            </w:tcBorders>
            <w:vAlign w:val="center"/>
          </w:tcPr>
          <w:p w14:paraId="25672450" w14:textId="2BF462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(338,622)</w:t>
            </w:r>
          </w:p>
        </w:tc>
        <w:tc>
          <w:tcPr>
            <w:tcW w:w="950" w:type="dxa"/>
            <w:tcBorders>
              <w:top w:val="single" w:sz="4" w:space="0" w:color="auto"/>
              <w:bottom w:val="single" w:sz="4" w:space="0" w:color="auto"/>
            </w:tcBorders>
            <w:vAlign w:val="center"/>
          </w:tcPr>
          <w:p w14:paraId="02745280" w14:textId="0BF7BC6D"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7,130</w:t>
            </w:r>
          </w:p>
        </w:tc>
        <w:tc>
          <w:tcPr>
            <w:tcW w:w="1149" w:type="dxa"/>
            <w:tcBorders>
              <w:top w:val="single" w:sz="4" w:space="0" w:color="auto"/>
              <w:bottom w:val="single" w:sz="4" w:space="0" w:color="auto"/>
            </w:tcBorders>
            <w:vAlign w:val="center"/>
          </w:tcPr>
          <w:p w14:paraId="438DA203" w14:textId="13EF6A19"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(331,492)</w:t>
            </w:r>
          </w:p>
        </w:tc>
      </w:tr>
      <w:tr w:rsidR="002B176B" w:rsidRPr="00653A38" w14:paraId="046189BD"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74D3B75B" w14:textId="77777777" w:rsidR="002B176B" w:rsidRPr="00653A38" w:rsidRDefault="002B176B" w:rsidP="002B176B">
            <w:pPr>
              <w:pStyle w:val="TableParagraph"/>
              <w:rPr>
                <w:szCs w:val="18"/>
              </w:rPr>
            </w:pPr>
          </w:p>
        </w:tc>
        <w:tc>
          <w:tcPr>
            <w:tcW w:w="815" w:type="dxa"/>
            <w:vAlign w:val="center"/>
          </w:tcPr>
          <w:p w14:paraId="792E1DE2" w14:textId="658C5AF1"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top w:val="single" w:sz="4" w:space="0" w:color="auto"/>
            </w:tcBorders>
            <w:vAlign w:val="center"/>
          </w:tcPr>
          <w:p w14:paraId="793D62CE" w14:textId="5648A8A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c>
          <w:tcPr>
            <w:tcW w:w="950" w:type="dxa"/>
            <w:tcBorders>
              <w:top w:val="single" w:sz="4" w:space="0" w:color="auto"/>
            </w:tcBorders>
            <w:vAlign w:val="center"/>
          </w:tcPr>
          <w:p w14:paraId="1D034DA0" w14:textId="57DF53B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c>
          <w:tcPr>
            <w:tcW w:w="960" w:type="dxa"/>
            <w:tcBorders>
              <w:top w:val="single" w:sz="4" w:space="0" w:color="auto"/>
            </w:tcBorders>
            <w:vAlign w:val="center"/>
          </w:tcPr>
          <w:p w14:paraId="14A64756" w14:textId="439D3C55"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 </w:t>
            </w:r>
          </w:p>
        </w:tc>
        <w:tc>
          <w:tcPr>
            <w:tcW w:w="1132" w:type="dxa"/>
            <w:tcBorders>
              <w:top w:val="single" w:sz="4" w:space="0" w:color="auto"/>
            </w:tcBorders>
            <w:vAlign w:val="center"/>
          </w:tcPr>
          <w:p w14:paraId="30718FDF" w14:textId="31946634"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c>
          <w:tcPr>
            <w:tcW w:w="950" w:type="dxa"/>
            <w:tcBorders>
              <w:top w:val="single" w:sz="4" w:space="0" w:color="auto"/>
            </w:tcBorders>
            <w:vAlign w:val="center"/>
          </w:tcPr>
          <w:p w14:paraId="694F1DAF" w14:textId="17A1E652"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c>
          <w:tcPr>
            <w:tcW w:w="1149" w:type="dxa"/>
            <w:tcBorders>
              <w:top w:val="single" w:sz="4" w:space="0" w:color="auto"/>
            </w:tcBorders>
            <w:vAlign w:val="center"/>
          </w:tcPr>
          <w:p w14:paraId="1B32BBF6" w14:textId="62C5FFC2"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 </w:t>
            </w:r>
          </w:p>
        </w:tc>
      </w:tr>
      <w:tr w:rsidR="002B176B" w:rsidRPr="00653A38" w14:paraId="0FAE34C0"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0DF8CF8" w14:textId="3BCC003E" w:rsidR="002B176B" w:rsidRPr="00653A38" w:rsidRDefault="002B176B" w:rsidP="002B176B">
            <w:pPr>
              <w:pStyle w:val="TableParagraph"/>
              <w:rPr>
                <w:szCs w:val="18"/>
              </w:rPr>
            </w:pPr>
            <w:r w:rsidRPr="00653A38">
              <w:rPr>
                <w:szCs w:val="18"/>
              </w:rPr>
              <w:t>Represented by</w:t>
            </w:r>
          </w:p>
        </w:tc>
        <w:tc>
          <w:tcPr>
            <w:tcW w:w="815" w:type="dxa"/>
            <w:vAlign w:val="center"/>
          </w:tcPr>
          <w:p w14:paraId="6B2FB06D"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vAlign w:val="center"/>
          </w:tcPr>
          <w:p w14:paraId="1F90377E"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vAlign w:val="center"/>
          </w:tcPr>
          <w:p w14:paraId="700DB2B6"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60" w:type="dxa"/>
            <w:vAlign w:val="center"/>
          </w:tcPr>
          <w:p w14:paraId="5757D666"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132" w:type="dxa"/>
            <w:vAlign w:val="center"/>
          </w:tcPr>
          <w:p w14:paraId="39851610"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vAlign w:val="center"/>
          </w:tcPr>
          <w:p w14:paraId="040E8C27"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49" w:type="dxa"/>
            <w:vAlign w:val="center"/>
          </w:tcPr>
          <w:p w14:paraId="3D235630" w14:textId="3D56D839"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2B176B" w:rsidRPr="00653A38" w14:paraId="22DD6AC3"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4DCA24CD" w14:textId="0DEF08B6" w:rsidR="002B176B" w:rsidRPr="00653A38" w:rsidRDefault="002B176B" w:rsidP="002B176B">
            <w:pPr>
              <w:pStyle w:val="TableParagraph"/>
              <w:rPr>
                <w:b w:val="0"/>
                <w:bCs w:val="0"/>
                <w:szCs w:val="18"/>
              </w:rPr>
            </w:pPr>
            <w:r w:rsidRPr="00653A38">
              <w:rPr>
                <w:b w:val="0"/>
                <w:bCs w:val="0"/>
                <w:szCs w:val="18"/>
              </w:rPr>
              <w:t>Total Income</w:t>
            </w:r>
          </w:p>
        </w:tc>
        <w:tc>
          <w:tcPr>
            <w:tcW w:w="815" w:type="dxa"/>
            <w:vAlign w:val="center"/>
          </w:tcPr>
          <w:p w14:paraId="5EF2B299" w14:textId="77777777"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vAlign w:val="center"/>
          </w:tcPr>
          <w:p w14:paraId="1FBA8787" w14:textId="0D7BA83A"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2,143,998</w:t>
            </w:r>
          </w:p>
        </w:tc>
        <w:tc>
          <w:tcPr>
            <w:tcW w:w="950" w:type="dxa"/>
            <w:vAlign w:val="center"/>
          </w:tcPr>
          <w:p w14:paraId="33AC5C6B" w14:textId="5BF17AC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78,631</w:t>
            </w:r>
          </w:p>
        </w:tc>
        <w:tc>
          <w:tcPr>
            <w:tcW w:w="960" w:type="dxa"/>
            <w:vAlign w:val="center"/>
          </w:tcPr>
          <w:p w14:paraId="320589B9" w14:textId="5A002FF5"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2,222,629</w:t>
            </w:r>
          </w:p>
        </w:tc>
        <w:tc>
          <w:tcPr>
            <w:tcW w:w="1132" w:type="dxa"/>
            <w:vAlign w:val="center"/>
          </w:tcPr>
          <w:p w14:paraId="133B091A" w14:textId="543CBA05"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3,197,284</w:t>
            </w:r>
          </w:p>
        </w:tc>
        <w:tc>
          <w:tcPr>
            <w:tcW w:w="950" w:type="dxa"/>
            <w:vAlign w:val="center"/>
          </w:tcPr>
          <w:p w14:paraId="4E30A81C" w14:textId="38B940DC"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35,255</w:t>
            </w:r>
          </w:p>
        </w:tc>
        <w:tc>
          <w:tcPr>
            <w:tcW w:w="1149" w:type="dxa"/>
            <w:vAlign w:val="center"/>
          </w:tcPr>
          <w:p w14:paraId="3BAE2565" w14:textId="309EFAC5"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3,232,539</w:t>
            </w:r>
          </w:p>
        </w:tc>
      </w:tr>
      <w:tr w:rsidR="002B176B" w:rsidRPr="00653A38" w14:paraId="4139B2DA"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F2307C1" w14:textId="46AF253B" w:rsidR="002B176B" w:rsidRPr="00653A38" w:rsidRDefault="002B176B" w:rsidP="002B176B">
            <w:pPr>
              <w:pStyle w:val="TableParagraph"/>
              <w:rPr>
                <w:b w:val="0"/>
                <w:bCs w:val="0"/>
                <w:szCs w:val="18"/>
              </w:rPr>
            </w:pPr>
            <w:r w:rsidRPr="00653A38">
              <w:rPr>
                <w:b w:val="0"/>
                <w:bCs w:val="0"/>
                <w:szCs w:val="18"/>
              </w:rPr>
              <w:t>Total Expenditure</w:t>
            </w:r>
          </w:p>
        </w:tc>
        <w:tc>
          <w:tcPr>
            <w:tcW w:w="815" w:type="dxa"/>
            <w:vAlign w:val="center"/>
          </w:tcPr>
          <w:p w14:paraId="6DED5213"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tcBorders>
              <w:bottom w:val="single" w:sz="4" w:space="0" w:color="auto"/>
            </w:tcBorders>
            <w:vAlign w:val="center"/>
          </w:tcPr>
          <w:p w14:paraId="4472905F" w14:textId="35FA191B"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(2,523,942)</w:t>
            </w:r>
          </w:p>
        </w:tc>
        <w:tc>
          <w:tcPr>
            <w:tcW w:w="950" w:type="dxa"/>
            <w:tcBorders>
              <w:bottom w:val="single" w:sz="4" w:space="0" w:color="auto"/>
            </w:tcBorders>
            <w:vAlign w:val="center"/>
          </w:tcPr>
          <w:p w14:paraId="3DA60347" w14:textId="56A1EAD6"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(84,343)</w:t>
            </w:r>
          </w:p>
        </w:tc>
        <w:tc>
          <w:tcPr>
            <w:tcW w:w="960" w:type="dxa"/>
            <w:tcBorders>
              <w:bottom w:val="single" w:sz="4" w:space="0" w:color="auto"/>
            </w:tcBorders>
            <w:vAlign w:val="center"/>
          </w:tcPr>
          <w:p w14:paraId="24A552B2" w14:textId="1CBAFF44"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(2,608,285)</w:t>
            </w:r>
          </w:p>
        </w:tc>
        <w:tc>
          <w:tcPr>
            <w:tcW w:w="1132" w:type="dxa"/>
            <w:tcBorders>
              <w:bottom w:val="single" w:sz="4" w:space="0" w:color="auto"/>
            </w:tcBorders>
            <w:vAlign w:val="center"/>
          </w:tcPr>
          <w:p w14:paraId="56B4822C" w14:textId="4CDFA048"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(3,535,906)</w:t>
            </w:r>
          </w:p>
        </w:tc>
        <w:tc>
          <w:tcPr>
            <w:tcW w:w="950" w:type="dxa"/>
            <w:tcBorders>
              <w:bottom w:val="single" w:sz="4" w:space="0" w:color="auto"/>
            </w:tcBorders>
            <w:vAlign w:val="center"/>
          </w:tcPr>
          <w:p w14:paraId="2D7C63DF" w14:textId="3A14B60F"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(28,125)</w:t>
            </w:r>
          </w:p>
        </w:tc>
        <w:tc>
          <w:tcPr>
            <w:tcW w:w="1149" w:type="dxa"/>
            <w:tcBorders>
              <w:bottom w:val="single" w:sz="4" w:space="0" w:color="auto"/>
            </w:tcBorders>
            <w:vAlign w:val="center"/>
          </w:tcPr>
          <w:p w14:paraId="181037CF" w14:textId="5E0720C5"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(3,564,031)</w:t>
            </w:r>
          </w:p>
        </w:tc>
      </w:tr>
      <w:tr w:rsidR="002B176B" w:rsidRPr="00653A38" w14:paraId="5194AC76"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3FFC73C0" w14:textId="46D90EDE" w:rsidR="002B176B" w:rsidRPr="00653A38" w:rsidRDefault="002B176B" w:rsidP="002B176B">
            <w:pPr>
              <w:pStyle w:val="TableParagraph"/>
              <w:rPr>
                <w:b w:val="0"/>
                <w:bCs w:val="0"/>
                <w:szCs w:val="18"/>
              </w:rPr>
            </w:pPr>
            <w:r w:rsidRPr="00653A38">
              <w:rPr>
                <w:b w:val="0"/>
                <w:bCs w:val="0"/>
                <w:szCs w:val="18"/>
              </w:rPr>
              <w:t>Net income before (loss)/gain on investments</w:t>
            </w:r>
          </w:p>
        </w:tc>
        <w:tc>
          <w:tcPr>
            <w:tcW w:w="815" w:type="dxa"/>
            <w:vAlign w:val="center"/>
          </w:tcPr>
          <w:p w14:paraId="52F158E0" w14:textId="5489CBEE"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top w:val="single" w:sz="4" w:space="0" w:color="auto"/>
              <w:bottom w:val="single" w:sz="4" w:space="0" w:color="auto"/>
            </w:tcBorders>
            <w:vAlign w:val="center"/>
          </w:tcPr>
          <w:p w14:paraId="0FEB7832" w14:textId="5BEDC36D"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(379,944)</w:t>
            </w:r>
          </w:p>
        </w:tc>
        <w:tc>
          <w:tcPr>
            <w:tcW w:w="950" w:type="dxa"/>
            <w:tcBorders>
              <w:top w:val="single" w:sz="4" w:space="0" w:color="auto"/>
              <w:bottom w:val="single" w:sz="4" w:space="0" w:color="auto"/>
            </w:tcBorders>
            <w:vAlign w:val="center"/>
          </w:tcPr>
          <w:p w14:paraId="53F1DF71" w14:textId="7CA7703F"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(5,712)</w:t>
            </w:r>
          </w:p>
        </w:tc>
        <w:tc>
          <w:tcPr>
            <w:tcW w:w="960" w:type="dxa"/>
            <w:tcBorders>
              <w:top w:val="single" w:sz="4" w:space="0" w:color="auto"/>
              <w:bottom w:val="single" w:sz="4" w:space="0" w:color="auto"/>
            </w:tcBorders>
            <w:vAlign w:val="center"/>
          </w:tcPr>
          <w:p w14:paraId="3EB6FEEB" w14:textId="5180BF6B"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(385,656)</w:t>
            </w:r>
          </w:p>
        </w:tc>
        <w:tc>
          <w:tcPr>
            <w:tcW w:w="1132" w:type="dxa"/>
            <w:tcBorders>
              <w:top w:val="single" w:sz="4" w:space="0" w:color="auto"/>
              <w:bottom w:val="single" w:sz="4" w:space="0" w:color="auto"/>
            </w:tcBorders>
            <w:vAlign w:val="center"/>
          </w:tcPr>
          <w:p w14:paraId="78B19F53" w14:textId="4BA13966"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(338,622)</w:t>
            </w:r>
          </w:p>
        </w:tc>
        <w:tc>
          <w:tcPr>
            <w:tcW w:w="950" w:type="dxa"/>
            <w:tcBorders>
              <w:top w:val="single" w:sz="4" w:space="0" w:color="auto"/>
              <w:bottom w:val="single" w:sz="4" w:space="0" w:color="auto"/>
            </w:tcBorders>
            <w:vAlign w:val="center"/>
          </w:tcPr>
          <w:p w14:paraId="419A32C1" w14:textId="124C104A"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7,130</w:t>
            </w:r>
          </w:p>
        </w:tc>
        <w:tc>
          <w:tcPr>
            <w:tcW w:w="1149" w:type="dxa"/>
            <w:tcBorders>
              <w:top w:val="single" w:sz="4" w:space="0" w:color="auto"/>
              <w:bottom w:val="single" w:sz="4" w:space="0" w:color="auto"/>
            </w:tcBorders>
            <w:vAlign w:val="center"/>
          </w:tcPr>
          <w:p w14:paraId="5399E28A" w14:textId="5281112A"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(331,492)</w:t>
            </w:r>
          </w:p>
        </w:tc>
      </w:tr>
      <w:tr w:rsidR="002B176B" w:rsidRPr="00653A38" w14:paraId="2F0376D3"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695C9DB" w14:textId="77777777" w:rsidR="002B176B" w:rsidRPr="00653A38" w:rsidRDefault="002B176B" w:rsidP="002B176B">
            <w:pPr>
              <w:pStyle w:val="TableParagraph"/>
              <w:rPr>
                <w:szCs w:val="18"/>
              </w:rPr>
            </w:pPr>
          </w:p>
        </w:tc>
        <w:tc>
          <w:tcPr>
            <w:tcW w:w="815" w:type="dxa"/>
            <w:vAlign w:val="center"/>
          </w:tcPr>
          <w:p w14:paraId="3B6D81A5" w14:textId="45615761"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vAlign w:val="center"/>
          </w:tcPr>
          <w:p w14:paraId="73135B6C" w14:textId="6E97575D"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c>
          <w:tcPr>
            <w:tcW w:w="950" w:type="dxa"/>
            <w:vAlign w:val="center"/>
          </w:tcPr>
          <w:p w14:paraId="532FDF24" w14:textId="6B1F6DB1"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c>
          <w:tcPr>
            <w:tcW w:w="960" w:type="dxa"/>
            <w:vAlign w:val="center"/>
          </w:tcPr>
          <w:p w14:paraId="2FCA7FB5" w14:textId="75972B70"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 </w:t>
            </w:r>
          </w:p>
        </w:tc>
        <w:tc>
          <w:tcPr>
            <w:tcW w:w="1132" w:type="dxa"/>
            <w:vAlign w:val="center"/>
          </w:tcPr>
          <w:p w14:paraId="2CCD56FF" w14:textId="609CB021"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c>
          <w:tcPr>
            <w:tcW w:w="950" w:type="dxa"/>
            <w:vAlign w:val="center"/>
          </w:tcPr>
          <w:p w14:paraId="00EAAE30" w14:textId="6D96275E"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c>
          <w:tcPr>
            <w:tcW w:w="1149" w:type="dxa"/>
            <w:vAlign w:val="center"/>
          </w:tcPr>
          <w:p w14:paraId="46290722" w14:textId="3C7C4BCE"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 </w:t>
            </w:r>
          </w:p>
        </w:tc>
      </w:tr>
      <w:tr w:rsidR="002B176B" w:rsidRPr="00653A38" w14:paraId="6800FB96"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51546CD9" w14:textId="41208623" w:rsidR="002B176B" w:rsidRPr="00653A38" w:rsidRDefault="002B176B" w:rsidP="002B176B">
            <w:pPr>
              <w:pStyle w:val="TableParagraph"/>
              <w:rPr>
                <w:b w:val="0"/>
                <w:bCs w:val="0"/>
                <w:szCs w:val="18"/>
              </w:rPr>
            </w:pPr>
            <w:r w:rsidRPr="00653A38">
              <w:rPr>
                <w:b w:val="0"/>
                <w:bCs w:val="0"/>
                <w:szCs w:val="18"/>
              </w:rPr>
              <w:t>Gain/ (loss) on valuation of investments</w:t>
            </w:r>
          </w:p>
        </w:tc>
        <w:tc>
          <w:tcPr>
            <w:tcW w:w="815" w:type="dxa"/>
            <w:vAlign w:val="center"/>
          </w:tcPr>
          <w:p w14:paraId="2EE0925B" w14:textId="12702760"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16</w:t>
            </w:r>
          </w:p>
        </w:tc>
        <w:tc>
          <w:tcPr>
            <w:tcW w:w="1132" w:type="dxa"/>
            <w:vAlign w:val="center"/>
          </w:tcPr>
          <w:p w14:paraId="785B7882" w14:textId="73A34E9D"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364,632</w:t>
            </w:r>
          </w:p>
        </w:tc>
        <w:tc>
          <w:tcPr>
            <w:tcW w:w="950" w:type="dxa"/>
            <w:vAlign w:val="center"/>
          </w:tcPr>
          <w:p w14:paraId="5713DA9A" w14:textId="5B0BBFFA"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w:t>
            </w:r>
          </w:p>
        </w:tc>
        <w:tc>
          <w:tcPr>
            <w:tcW w:w="960" w:type="dxa"/>
            <w:vAlign w:val="center"/>
          </w:tcPr>
          <w:p w14:paraId="79FF4767" w14:textId="6CD0C172"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364,632</w:t>
            </w:r>
          </w:p>
        </w:tc>
        <w:tc>
          <w:tcPr>
            <w:tcW w:w="1132" w:type="dxa"/>
            <w:vAlign w:val="center"/>
          </w:tcPr>
          <w:p w14:paraId="658DA5C9" w14:textId="1F9A1446"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(110,175)</w:t>
            </w:r>
          </w:p>
        </w:tc>
        <w:tc>
          <w:tcPr>
            <w:tcW w:w="950" w:type="dxa"/>
            <w:vAlign w:val="center"/>
          </w:tcPr>
          <w:p w14:paraId="49DFD233" w14:textId="75087D9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w:t>
            </w:r>
          </w:p>
        </w:tc>
        <w:tc>
          <w:tcPr>
            <w:tcW w:w="1149" w:type="dxa"/>
            <w:vAlign w:val="center"/>
          </w:tcPr>
          <w:p w14:paraId="2A8FC18D" w14:textId="2A99B8B0"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(110,175)</w:t>
            </w:r>
          </w:p>
        </w:tc>
      </w:tr>
      <w:tr w:rsidR="002B176B" w:rsidRPr="00653A38" w14:paraId="5D93A13F"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4FCA0B7" w14:textId="77777777" w:rsidR="002B176B" w:rsidRPr="00653A38" w:rsidRDefault="002B176B" w:rsidP="002B176B">
            <w:pPr>
              <w:pStyle w:val="TableParagraph"/>
              <w:rPr>
                <w:szCs w:val="18"/>
              </w:rPr>
            </w:pPr>
          </w:p>
        </w:tc>
        <w:tc>
          <w:tcPr>
            <w:tcW w:w="815" w:type="dxa"/>
            <w:vAlign w:val="center"/>
          </w:tcPr>
          <w:p w14:paraId="0AAE4308"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tcBorders>
              <w:bottom w:val="single" w:sz="4" w:space="0" w:color="auto"/>
            </w:tcBorders>
            <w:vAlign w:val="center"/>
          </w:tcPr>
          <w:p w14:paraId="5A4E465F"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tcBorders>
              <w:bottom w:val="single" w:sz="4" w:space="0" w:color="auto"/>
            </w:tcBorders>
            <w:vAlign w:val="center"/>
          </w:tcPr>
          <w:p w14:paraId="67B3BBB2"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60" w:type="dxa"/>
            <w:tcBorders>
              <w:bottom w:val="single" w:sz="4" w:space="0" w:color="auto"/>
            </w:tcBorders>
            <w:vAlign w:val="center"/>
          </w:tcPr>
          <w:p w14:paraId="7D8BCDFB"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132" w:type="dxa"/>
            <w:tcBorders>
              <w:bottom w:val="single" w:sz="4" w:space="0" w:color="auto"/>
            </w:tcBorders>
            <w:vAlign w:val="center"/>
          </w:tcPr>
          <w:p w14:paraId="3CFD994C"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tcBorders>
              <w:bottom w:val="single" w:sz="4" w:space="0" w:color="auto"/>
            </w:tcBorders>
            <w:vAlign w:val="center"/>
          </w:tcPr>
          <w:p w14:paraId="4F3D60C3"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49" w:type="dxa"/>
            <w:tcBorders>
              <w:bottom w:val="single" w:sz="4" w:space="0" w:color="auto"/>
            </w:tcBorders>
            <w:vAlign w:val="center"/>
          </w:tcPr>
          <w:p w14:paraId="00B5E80B" w14:textId="48A804A3"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2B176B" w:rsidRPr="00653A38" w14:paraId="2937A957"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3AC3C692" w14:textId="05D6FDE0" w:rsidR="002B176B" w:rsidRPr="00653A38" w:rsidRDefault="002B176B" w:rsidP="002B176B">
            <w:pPr>
              <w:pStyle w:val="TableParagraph"/>
              <w:rPr>
                <w:szCs w:val="18"/>
              </w:rPr>
            </w:pPr>
            <w:r w:rsidRPr="00653A38">
              <w:rPr>
                <w:szCs w:val="18"/>
              </w:rPr>
              <w:t>Net movement in funds</w:t>
            </w:r>
          </w:p>
        </w:tc>
        <w:tc>
          <w:tcPr>
            <w:tcW w:w="815" w:type="dxa"/>
            <w:vAlign w:val="center"/>
          </w:tcPr>
          <w:p w14:paraId="03A594A7" w14:textId="42620FFC"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top w:val="single" w:sz="4" w:space="0" w:color="auto"/>
            </w:tcBorders>
            <w:vAlign w:val="center"/>
          </w:tcPr>
          <w:p w14:paraId="02447455" w14:textId="30C79A80"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(15,313)</w:t>
            </w:r>
          </w:p>
        </w:tc>
        <w:tc>
          <w:tcPr>
            <w:tcW w:w="950" w:type="dxa"/>
            <w:tcBorders>
              <w:top w:val="single" w:sz="4" w:space="0" w:color="auto"/>
            </w:tcBorders>
            <w:vAlign w:val="center"/>
          </w:tcPr>
          <w:p w14:paraId="174FB941" w14:textId="41B382B0"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(5,712)</w:t>
            </w:r>
          </w:p>
        </w:tc>
        <w:tc>
          <w:tcPr>
            <w:tcW w:w="960" w:type="dxa"/>
            <w:tcBorders>
              <w:top w:val="single" w:sz="4" w:space="0" w:color="auto"/>
            </w:tcBorders>
            <w:vAlign w:val="center"/>
          </w:tcPr>
          <w:p w14:paraId="774470DC" w14:textId="67D6936D"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(21,024)</w:t>
            </w:r>
          </w:p>
        </w:tc>
        <w:tc>
          <w:tcPr>
            <w:tcW w:w="1132" w:type="dxa"/>
            <w:tcBorders>
              <w:top w:val="single" w:sz="4" w:space="0" w:color="auto"/>
            </w:tcBorders>
            <w:vAlign w:val="center"/>
          </w:tcPr>
          <w:p w14:paraId="09204407" w14:textId="6B35FB63"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(448,797)</w:t>
            </w:r>
          </w:p>
        </w:tc>
        <w:tc>
          <w:tcPr>
            <w:tcW w:w="950" w:type="dxa"/>
            <w:tcBorders>
              <w:top w:val="single" w:sz="4" w:space="0" w:color="auto"/>
            </w:tcBorders>
            <w:vAlign w:val="center"/>
          </w:tcPr>
          <w:p w14:paraId="330FCA3D" w14:textId="6237D948"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7,130</w:t>
            </w:r>
          </w:p>
        </w:tc>
        <w:tc>
          <w:tcPr>
            <w:tcW w:w="1149" w:type="dxa"/>
            <w:tcBorders>
              <w:top w:val="single" w:sz="4" w:space="0" w:color="auto"/>
            </w:tcBorders>
            <w:vAlign w:val="center"/>
          </w:tcPr>
          <w:p w14:paraId="7FCE5249" w14:textId="664F0D0E"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(441,667)</w:t>
            </w:r>
          </w:p>
        </w:tc>
      </w:tr>
      <w:tr w:rsidR="002B176B" w:rsidRPr="00653A38" w14:paraId="10FC46A8"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1BD2410" w14:textId="77777777" w:rsidR="002B176B" w:rsidRPr="00653A38" w:rsidRDefault="002B176B" w:rsidP="002B176B">
            <w:pPr>
              <w:pStyle w:val="TableParagraph"/>
              <w:rPr>
                <w:szCs w:val="18"/>
              </w:rPr>
            </w:pPr>
          </w:p>
        </w:tc>
        <w:tc>
          <w:tcPr>
            <w:tcW w:w="815" w:type="dxa"/>
            <w:vAlign w:val="center"/>
          </w:tcPr>
          <w:p w14:paraId="401D5154"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vAlign w:val="center"/>
          </w:tcPr>
          <w:p w14:paraId="3FC5E359"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vAlign w:val="center"/>
          </w:tcPr>
          <w:p w14:paraId="60819F93"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60" w:type="dxa"/>
            <w:vAlign w:val="center"/>
          </w:tcPr>
          <w:p w14:paraId="4010F083"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132" w:type="dxa"/>
            <w:vAlign w:val="center"/>
          </w:tcPr>
          <w:p w14:paraId="24C2A27E"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50" w:type="dxa"/>
            <w:vAlign w:val="center"/>
          </w:tcPr>
          <w:p w14:paraId="12EA927C"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49" w:type="dxa"/>
            <w:vAlign w:val="center"/>
          </w:tcPr>
          <w:p w14:paraId="4C025824" w14:textId="77777777"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2B176B" w:rsidRPr="00653A38" w14:paraId="596080FE"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324CB0C6" w14:textId="568D9DD1" w:rsidR="002B176B" w:rsidRPr="00653A38" w:rsidRDefault="002B176B" w:rsidP="002B176B">
            <w:pPr>
              <w:pStyle w:val="TableParagraph"/>
              <w:rPr>
                <w:szCs w:val="18"/>
              </w:rPr>
            </w:pPr>
            <w:r w:rsidRPr="00653A38">
              <w:rPr>
                <w:szCs w:val="18"/>
              </w:rPr>
              <w:t>Reconciliation of funds:</w:t>
            </w:r>
          </w:p>
        </w:tc>
        <w:tc>
          <w:tcPr>
            <w:tcW w:w="815" w:type="dxa"/>
            <w:vAlign w:val="center"/>
          </w:tcPr>
          <w:p w14:paraId="43265D0B" w14:textId="77777777"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vAlign w:val="center"/>
          </w:tcPr>
          <w:p w14:paraId="31CC42EB"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50" w:type="dxa"/>
            <w:vAlign w:val="center"/>
          </w:tcPr>
          <w:p w14:paraId="3EEF0D89"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0" w:type="dxa"/>
            <w:vAlign w:val="center"/>
          </w:tcPr>
          <w:p w14:paraId="03876943"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132" w:type="dxa"/>
            <w:vAlign w:val="center"/>
          </w:tcPr>
          <w:p w14:paraId="67BAB8F1"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50" w:type="dxa"/>
            <w:vAlign w:val="center"/>
          </w:tcPr>
          <w:p w14:paraId="54B9F8B9" w14:textId="7777777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49" w:type="dxa"/>
            <w:vAlign w:val="center"/>
          </w:tcPr>
          <w:p w14:paraId="7D87AF64" w14:textId="70C6B0DC"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2B176B" w:rsidRPr="00653A38" w14:paraId="447871C5" w14:textId="77777777" w:rsidTr="00653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0BBEBD0" w14:textId="39ECB9D7" w:rsidR="002B176B" w:rsidRPr="00653A38" w:rsidRDefault="002B176B" w:rsidP="002B176B">
            <w:pPr>
              <w:pStyle w:val="TableParagraph"/>
              <w:rPr>
                <w:b w:val="0"/>
                <w:bCs w:val="0"/>
                <w:szCs w:val="18"/>
              </w:rPr>
            </w:pPr>
            <w:r w:rsidRPr="00653A38">
              <w:rPr>
                <w:b w:val="0"/>
                <w:bCs w:val="0"/>
                <w:szCs w:val="18"/>
              </w:rPr>
              <w:t>Total funds brought forward</w:t>
            </w:r>
          </w:p>
        </w:tc>
        <w:tc>
          <w:tcPr>
            <w:tcW w:w="815" w:type="dxa"/>
            <w:vAlign w:val="center"/>
          </w:tcPr>
          <w:p w14:paraId="64524F6B" w14:textId="77777777" w:rsidR="002B176B" w:rsidRPr="00653A38" w:rsidRDefault="002B176B" w:rsidP="00183CAB">
            <w:pPr>
              <w:pStyle w:val="TableParagraph"/>
              <w:jc w:val="center"/>
              <w:cnfStyle w:val="000000100000" w:firstRow="0" w:lastRow="0" w:firstColumn="0" w:lastColumn="0" w:oddVBand="0" w:evenVBand="0" w:oddHBand="1" w:evenHBand="0" w:firstRowFirstColumn="0" w:firstRowLastColumn="0" w:lastRowFirstColumn="0" w:lastRowLastColumn="0"/>
              <w:rPr>
                <w:szCs w:val="18"/>
              </w:rPr>
            </w:pPr>
          </w:p>
        </w:tc>
        <w:tc>
          <w:tcPr>
            <w:tcW w:w="1132" w:type="dxa"/>
            <w:tcBorders>
              <w:bottom w:val="single" w:sz="4" w:space="0" w:color="auto"/>
            </w:tcBorders>
            <w:vAlign w:val="center"/>
          </w:tcPr>
          <w:p w14:paraId="44BDB94D" w14:textId="139782AA"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2,217,557</w:t>
            </w:r>
          </w:p>
        </w:tc>
        <w:tc>
          <w:tcPr>
            <w:tcW w:w="950" w:type="dxa"/>
            <w:tcBorders>
              <w:bottom w:val="single" w:sz="4" w:space="0" w:color="auto"/>
            </w:tcBorders>
            <w:vAlign w:val="center"/>
          </w:tcPr>
          <w:p w14:paraId="23A6F0D7" w14:textId="367C6FA0"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7,130</w:t>
            </w:r>
          </w:p>
        </w:tc>
        <w:tc>
          <w:tcPr>
            <w:tcW w:w="960" w:type="dxa"/>
            <w:tcBorders>
              <w:bottom w:val="single" w:sz="4" w:space="0" w:color="auto"/>
            </w:tcBorders>
            <w:vAlign w:val="center"/>
          </w:tcPr>
          <w:p w14:paraId="74875E8E" w14:textId="5ED32BFC"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653A38">
              <w:rPr>
                <w:rFonts w:cs="Calibri"/>
                <w:b/>
                <w:bCs/>
                <w:szCs w:val="18"/>
              </w:rPr>
              <w:t>2,224,687</w:t>
            </w:r>
          </w:p>
        </w:tc>
        <w:tc>
          <w:tcPr>
            <w:tcW w:w="1132" w:type="dxa"/>
            <w:tcBorders>
              <w:bottom w:val="single" w:sz="4" w:space="0" w:color="auto"/>
            </w:tcBorders>
            <w:vAlign w:val="center"/>
          </w:tcPr>
          <w:p w14:paraId="1B091077" w14:textId="664B3ABC"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2,666,354</w:t>
            </w:r>
          </w:p>
        </w:tc>
        <w:tc>
          <w:tcPr>
            <w:tcW w:w="950" w:type="dxa"/>
            <w:tcBorders>
              <w:bottom w:val="single" w:sz="4" w:space="0" w:color="auto"/>
            </w:tcBorders>
            <w:vAlign w:val="center"/>
          </w:tcPr>
          <w:p w14:paraId="588247BE" w14:textId="6F19367B"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w:t>
            </w:r>
          </w:p>
        </w:tc>
        <w:tc>
          <w:tcPr>
            <w:tcW w:w="1149" w:type="dxa"/>
            <w:tcBorders>
              <w:bottom w:val="single" w:sz="4" w:space="0" w:color="auto"/>
            </w:tcBorders>
            <w:vAlign w:val="center"/>
          </w:tcPr>
          <w:p w14:paraId="19073492" w14:textId="01B4B91E" w:rsidR="002B176B" w:rsidRPr="00653A38" w:rsidRDefault="002B176B" w:rsidP="002B176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2,666,354</w:t>
            </w:r>
          </w:p>
        </w:tc>
      </w:tr>
      <w:tr w:rsidR="002B176B" w:rsidRPr="00653A38" w14:paraId="722B2CEB" w14:textId="77777777" w:rsidTr="00653A38">
        <w:tc>
          <w:tcPr>
            <w:cnfStyle w:val="001000000000" w:firstRow="0" w:lastRow="0" w:firstColumn="1" w:lastColumn="0" w:oddVBand="0" w:evenVBand="0" w:oddHBand="0" w:evenHBand="0" w:firstRowFirstColumn="0" w:firstRowLastColumn="0" w:lastRowFirstColumn="0" w:lastRowLastColumn="0"/>
            <w:tcW w:w="2410" w:type="dxa"/>
            <w:vAlign w:val="center"/>
          </w:tcPr>
          <w:p w14:paraId="26A683EE" w14:textId="65FA2762" w:rsidR="002B176B" w:rsidRPr="00653A38" w:rsidRDefault="002B176B" w:rsidP="002B176B">
            <w:pPr>
              <w:pStyle w:val="TableParagraph"/>
              <w:rPr>
                <w:szCs w:val="18"/>
              </w:rPr>
            </w:pPr>
            <w:r w:rsidRPr="00653A38">
              <w:rPr>
                <w:szCs w:val="18"/>
              </w:rPr>
              <w:t>Total funds carried forward</w:t>
            </w:r>
          </w:p>
        </w:tc>
        <w:tc>
          <w:tcPr>
            <w:tcW w:w="815" w:type="dxa"/>
            <w:vAlign w:val="center"/>
          </w:tcPr>
          <w:p w14:paraId="5D201741" w14:textId="470C1807" w:rsidR="002B176B" w:rsidRPr="00653A38" w:rsidRDefault="002B176B" w:rsidP="00183CAB">
            <w:pPr>
              <w:pStyle w:val="TableParagraph"/>
              <w:jc w:val="center"/>
              <w:cnfStyle w:val="000000000000" w:firstRow="0" w:lastRow="0" w:firstColumn="0" w:lastColumn="0" w:oddVBand="0" w:evenVBand="0" w:oddHBand="0" w:evenHBand="0" w:firstRowFirstColumn="0" w:firstRowLastColumn="0" w:lastRowFirstColumn="0" w:lastRowLastColumn="0"/>
              <w:rPr>
                <w:szCs w:val="18"/>
              </w:rPr>
            </w:pPr>
          </w:p>
        </w:tc>
        <w:tc>
          <w:tcPr>
            <w:tcW w:w="1132" w:type="dxa"/>
            <w:tcBorders>
              <w:top w:val="single" w:sz="4" w:space="0" w:color="auto"/>
              <w:bottom w:val="single" w:sz="4" w:space="0" w:color="auto"/>
            </w:tcBorders>
            <w:vAlign w:val="center"/>
          </w:tcPr>
          <w:p w14:paraId="3328F1A1" w14:textId="3DDCDD26"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2,202,244</w:t>
            </w:r>
          </w:p>
        </w:tc>
        <w:tc>
          <w:tcPr>
            <w:tcW w:w="950" w:type="dxa"/>
            <w:tcBorders>
              <w:top w:val="single" w:sz="4" w:space="0" w:color="auto"/>
              <w:bottom w:val="single" w:sz="4" w:space="0" w:color="auto"/>
            </w:tcBorders>
            <w:vAlign w:val="center"/>
          </w:tcPr>
          <w:p w14:paraId="27800128" w14:textId="35223A9B"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1,419</w:t>
            </w:r>
          </w:p>
        </w:tc>
        <w:tc>
          <w:tcPr>
            <w:tcW w:w="960" w:type="dxa"/>
            <w:tcBorders>
              <w:top w:val="single" w:sz="4" w:space="0" w:color="auto"/>
              <w:bottom w:val="single" w:sz="4" w:space="0" w:color="auto"/>
            </w:tcBorders>
            <w:vAlign w:val="center"/>
          </w:tcPr>
          <w:p w14:paraId="7DE5AA57" w14:textId="1586A997"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653A38">
              <w:rPr>
                <w:rFonts w:cs="Calibri"/>
                <w:b/>
                <w:bCs/>
                <w:szCs w:val="18"/>
              </w:rPr>
              <w:t>2,203,663</w:t>
            </w:r>
          </w:p>
        </w:tc>
        <w:tc>
          <w:tcPr>
            <w:tcW w:w="1132" w:type="dxa"/>
            <w:tcBorders>
              <w:top w:val="single" w:sz="4" w:space="0" w:color="auto"/>
              <w:bottom w:val="single" w:sz="4" w:space="0" w:color="auto"/>
            </w:tcBorders>
            <w:vAlign w:val="center"/>
          </w:tcPr>
          <w:p w14:paraId="0C30B3F4" w14:textId="206AA696"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2,217,557</w:t>
            </w:r>
          </w:p>
        </w:tc>
        <w:tc>
          <w:tcPr>
            <w:tcW w:w="950" w:type="dxa"/>
            <w:tcBorders>
              <w:top w:val="single" w:sz="4" w:space="0" w:color="auto"/>
              <w:bottom w:val="single" w:sz="4" w:space="0" w:color="auto"/>
            </w:tcBorders>
            <w:vAlign w:val="center"/>
          </w:tcPr>
          <w:p w14:paraId="5FFC895C" w14:textId="39846FAE"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7,130</w:t>
            </w:r>
          </w:p>
        </w:tc>
        <w:tc>
          <w:tcPr>
            <w:tcW w:w="1149" w:type="dxa"/>
            <w:tcBorders>
              <w:top w:val="single" w:sz="4" w:space="0" w:color="auto"/>
              <w:bottom w:val="single" w:sz="4" w:space="0" w:color="auto"/>
            </w:tcBorders>
            <w:vAlign w:val="center"/>
          </w:tcPr>
          <w:p w14:paraId="762E882D" w14:textId="0D2E5E03" w:rsidR="002B176B" w:rsidRPr="00653A38" w:rsidRDefault="002B176B" w:rsidP="002B176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2,224,687</w:t>
            </w:r>
          </w:p>
        </w:tc>
      </w:tr>
    </w:tbl>
    <w:p w14:paraId="17ED7093" w14:textId="77777777" w:rsidR="0064733E" w:rsidRPr="00653A38" w:rsidRDefault="0064733E">
      <w:pPr>
        <w:widowControl/>
        <w:autoSpaceDE/>
        <w:autoSpaceDN/>
        <w:rPr>
          <w:sz w:val="18"/>
          <w:szCs w:val="18"/>
        </w:rPr>
      </w:pPr>
    </w:p>
    <w:p w14:paraId="4EEBDC96" w14:textId="77777777" w:rsidR="002B176B" w:rsidRPr="00653A38" w:rsidRDefault="0064733E">
      <w:pPr>
        <w:widowControl/>
        <w:autoSpaceDE/>
        <w:autoSpaceDN/>
        <w:rPr>
          <w:sz w:val="18"/>
          <w:szCs w:val="18"/>
        </w:rPr>
      </w:pPr>
      <w:proofErr w:type="gramStart"/>
      <w:r w:rsidRPr="00653A38">
        <w:rPr>
          <w:sz w:val="18"/>
          <w:szCs w:val="18"/>
        </w:rPr>
        <w:t>All of</w:t>
      </w:r>
      <w:proofErr w:type="gramEnd"/>
      <w:r w:rsidRPr="00653A38">
        <w:rPr>
          <w:sz w:val="18"/>
          <w:szCs w:val="18"/>
        </w:rPr>
        <w:t xml:space="preserve"> the above results are derived from continuing activities. There were no other recognised gains or losses other than those stated above. All movements in funds are disclosed in note 22a.</w:t>
      </w:r>
    </w:p>
    <w:p w14:paraId="023E47D5" w14:textId="171655F2" w:rsidR="00C65369" w:rsidRPr="00653A38" w:rsidRDefault="00C65369">
      <w:pPr>
        <w:widowControl/>
        <w:autoSpaceDE/>
        <w:autoSpaceDN/>
        <w:rPr>
          <w:sz w:val="18"/>
          <w:szCs w:val="18"/>
        </w:rPr>
      </w:pPr>
      <w:r w:rsidRPr="00653A38">
        <w:rPr>
          <w:sz w:val="18"/>
          <w:szCs w:val="18"/>
        </w:rPr>
        <w:br w:type="page"/>
      </w:r>
    </w:p>
    <w:p w14:paraId="22C35A73" w14:textId="7A4074A6" w:rsidR="00C65369" w:rsidRDefault="00C65369" w:rsidP="00511D52">
      <w:pPr>
        <w:pStyle w:val="Heading2"/>
      </w:pPr>
      <w:bookmarkStart w:id="14" w:name="_Toc87614393"/>
      <w:r w:rsidRPr="00C65369">
        <w:lastRenderedPageBreak/>
        <w:t>Balance sheets</w:t>
      </w:r>
      <w:bookmarkEnd w:id="14"/>
    </w:p>
    <w:p w14:paraId="626BB624" w14:textId="1ED7D656" w:rsidR="00C65369" w:rsidRDefault="00C65369" w:rsidP="00C65369">
      <w:r w:rsidRPr="00511D52">
        <w:rPr>
          <w:rStyle w:val="Heading3Char"/>
        </w:rPr>
        <w:t xml:space="preserve">As </w:t>
      </w:r>
      <w:proofErr w:type="gramStart"/>
      <w:r w:rsidRPr="00511D52">
        <w:rPr>
          <w:rStyle w:val="Heading3Char"/>
        </w:rPr>
        <w:t>at</w:t>
      </w:r>
      <w:proofErr w:type="gramEnd"/>
      <w:r w:rsidRPr="00511D52">
        <w:rPr>
          <w:rStyle w:val="Heading3Char"/>
        </w:rPr>
        <w:t xml:space="preserve"> 31 March 2021</w:t>
      </w:r>
      <w:r w:rsidRPr="00511D52">
        <w:rPr>
          <w:rStyle w:val="Heading3Char"/>
        </w:rPr>
        <w:tab/>
      </w:r>
      <w:r w:rsidRPr="00C65369">
        <w:tab/>
      </w:r>
      <w:r w:rsidRPr="00C65369">
        <w:tab/>
      </w:r>
      <w:r w:rsidRPr="00C65369">
        <w:tab/>
      </w:r>
      <w:r w:rsidRPr="00C65369">
        <w:tab/>
      </w:r>
      <w:r w:rsidRPr="00511D52">
        <w:rPr>
          <w:rStyle w:val="Heading3Char"/>
        </w:rPr>
        <w:t>Company no. 03693002</w:t>
      </w:r>
    </w:p>
    <w:p w14:paraId="2EBB4971" w14:textId="77777777" w:rsidR="00C65369" w:rsidRPr="00653A38" w:rsidRDefault="00C65369" w:rsidP="00C65369">
      <w:pPr>
        <w:rPr>
          <w:sz w:val="18"/>
          <w:szCs w:val="18"/>
        </w:rPr>
      </w:pPr>
    </w:p>
    <w:tbl>
      <w:tblPr>
        <w:tblStyle w:val="PlainTable4"/>
        <w:tblW w:w="9043" w:type="dxa"/>
        <w:tblCellMar>
          <w:top w:w="28" w:type="dxa"/>
          <w:left w:w="57" w:type="dxa"/>
          <w:bottom w:w="28" w:type="dxa"/>
          <w:right w:w="57" w:type="dxa"/>
        </w:tblCellMar>
        <w:tblLook w:val="04A0" w:firstRow="1" w:lastRow="0" w:firstColumn="1" w:lastColumn="0" w:noHBand="0" w:noVBand="1"/>
      </w:tblPr>
      <w:tblGrid>
        <w:gridCol w:w="4323"/>
        <w:gridCol w:w="505"/>
        <w:gridCol w:w="1178"/>
        <w:gridCol w:w="1039"/>
        <w:gridCol w:w="1035"/>
        <w:gridCol w:w="963"/>
      </w:tblGrid>
      <w:tr w:rsidR="00A637F5" w:rsidRPr="00653A38" w14:paraId="7DA78BDC" w14:textId="77777777" w:rsidTr="00875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bottom"/>
          </w:tcPr>
          <w:p w14:paraId="6D683CCE" w14:textId="32A71CB2" w:rsidR="00A637F5" w:rsidRPr="00653A38" w:rsidRDefault="003552FF" w:rsidP="003552FF">
            <w:pPr>
              <w:pStyle w:val="TableParagraph"/>
              <w:rPr>
                <w:rFonts w:cs="Calibri"/>
                <w:szCs w:val="18"/>
              </w:rPr>
            </w:pPr>
            <w:r w:rsidRPr="00653A38">
              <w:rPr>
                <w:rFonts w:cs="Calibri"/>
                <w:szCs w:val="18"/>
              </w:rPr>
              <w:t>Fixed assets</w:t>
            </w:r>
          </w:p>
        </w:tc>
        <w:tc>
          <w:tcPr>
            <w:tcW w:w="505" w:type="dxa"/>
            <w:vAlign w:val="center"/>
          </w:tcPr>
          <w:p w14:paraId="52F194EF" w14:textId="6F30B011" w:rsidR="00A637F5" w:rsidRPr="00653A38" w:rsidRDefault="00A637F5" w:rsidP="00A637F5">
            <w:pPr>
              <w:pStyle w:val="TableParagraph"/>
              <w:jc w:val="center"/>
              <w:cnfStyle w:val="100000000000" w:firstRow="1" w:lastRow="0" w:firstColumn="0" w:lastColumn="0" w:oddVBand="0" w:evenVBand="0" w:oddHBand="0" w:evenHBand="0" w:firstRowFirstColumn="0" w:firstRowLastColumn="0" w:lastRowFirstColumn="0" w:lastRowLastColumn="0"/>
              <w:rPr>
                <w:rFonts w:cs="Calibri"/>
                <w:szCs w:val="18"/>
              </w:rPr>
            </w:pPr>
            <w:r w:rsidRPr="00653A38">
              <w:rPr>
                <w:szCs w:val="18"/>
              </w:rPr>
              <w:t>Note</w:t>
            </w:r>
          </w:p>
        </w:tc>
        <w:tc>
          <w:tcPr>
            <w:tcW w:w="1178" w:type="dxa"/>
          </w:tcPr>
          <w:p w14:paraId="39DF5EDB" w14:textId="77777777" w:rsidR="00A637F5" w:rsidRPr="00875C94" w:rsidRDefault="00A637F5" w:rsidP="003552FF">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875C94">
              <w:rPr>
                <w:szCs w:val="18"/>
              </w:rPr>
              <w:t>The group</w:t>
            </w:r>
          </w:p>
          <w:p w14:paraId="2C27CC60" w14:textId="77777777" w:rsidR="00A637F5" w:rsidRPr="00875C94" w:rsidRDefault="00A637F5" w:rsidP="003552FF">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875C94">
              <w:rPr>
                <w:szCs w:val="18"/>
              </w:rPr>
              <w:t>2021</w:t>
            </w:r>
          </w:p>
          <w:p w14:paraId="18EB7675" w14:textId="0DD84191" w:rsidR="003552FF" w:rsidRPr="00875C94" w:rsidRDefault="003552FF" w:rsidP="003552FF">
            <w:pPr>
              <w:pStyle w:val="TableParagraph"/>
              <w:jc w:val="right"/>
              <w:cnfStyle w:val="100000000000" w:firstRow="1" w:lastRow="0" w:firstColumn="0" w:lastColumn="0" w:oddVBand="0" w:evenVBand="0" w:oddHBand="0" w:evenHBand="0" w:firstRowFirstColumn="0" w:firstRowLastColumn="0" w:lastRowFirstColumn="0" w:lastRowLastColumn="0"/>
              <w:rPr>
                <w:rFonts w:cs="Calibri"/>
                <w:szCs w:val="18"/>
              </w:rPr>
            </w:pPr>
            <w:r w:rsidRPr="00875C94">
              <w:rPr>
                <w:szCs w:val="18"/>
              </w:rPr>
              <w:t>£</w:t>
            </w:r>
          </w:p>
        </w:tc>
        <w:tc>
          <w:tcPr>
            <w:tcW w:w="1039" w:type="dxa"/>
          </w:tcPr>
          <w:p w14:paraId="16BC7F58" w14:textId="1342F400" w:rsidR="00A637F5" w:rsidRPr="00875C94" w:rsidRDefault="00A637F5" w:rsidP="003552FF">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875C94">
              <w:rPr>
                <w:b w:val="0"/>
                <w:bCs w:val="0"/>
                <w:szCs w:val="18"/>
              </w:rPr>
              <w:t>2020</w:t>
            </w:r>
          </w:p>
          <w:p w14:paraId="0A9763C4" w14:textId="77777777" w:rsidR="003552FF" w:rsidRPr="00875C94" w:rsidRDefault="003552FF" w:rsidP="003552FF">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p>
          <w:p w14:paraId="1C2C33FB" w14:textId="586E2085" w:rsidR="003552FF" w:rsidRPr="00875C94" w:rsidRDefault="003552FF" w:rsidP="003552FF">
            <w:pPr>
              <w:pStyle w:val="TableParagraph"/>
              <w:jc w:val="right"/>
              <w:cnfStyle w:val="100000000000" w:firstRow="1" w:lastRow="0" w:firstColumn="0" w:lastColumn="0" w:oddVBand="0" w:evenVBand="0" w:oddHBand="0" w:evenHBand="0" w:firstRowFirstColumn="0" w:firstRowLastColumn="0" w:lastRowFirstColumn="0" w:lastRowLastColumn="0"/>
              <w:rPr>
                <w:rFonts w:cs="Calibri"/>
                <w:b w:val="0"/>
                <w:bCs w:val="0"/>
                <w:szCs w:val="18"/>
              </w:rPr>
            </w:pPr>
            <w:r w:rsidRPr="00875C94">
              <w:rPr>
                <w:b w:val="0"/>
                <w:bCs w:val="0"/>
                <w:szCs w:val="18"/>
              </w:rPr>
              <w:t>£</w:t>
            </w:r>
          </w:p>
        </w:tc>
        <w:tc>
          <w:tcPr>
            <w:tcW w:w="1035" w:type="dxa"/>
          </w:tcPr>
          <w:p w14:paraId="7B7C6B7E" w14:textId="77777777" w:rsidR="00A637F5" w:rsidRPr="00875C94" w:rsidRDefault="00A637F5" w:rsidP="003552FF">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875C94">
              <w:rPr>
                <w:szCs w:val="18"/>
              </w:rPr>
              <w:t>The charity</w:t>
            </w:r>
          </w:p>
          <w:p w14:paraId="6FBFB854" w14:textId="77777777" w:rsidR="00A637F5" w:rsidRPr="00875C94" w:rsidRDefault="00A637F5" w:rsidP="003552FF">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875C94">
              <w:rPr>
                <w:szCs w:val="18"/>
              </w:rPr>
              <w:t>2021</w:t>
            </w:r>
          </w:p>
          <w:p w14:paraId="66D2F6FA" w14:textId="290F7264" w:rsidR="003552FF" w:rsidRPr="00653A38" w:rsidRDefault="003552FF" w:rsidP="003552FF">
            <w:pPr>
              <w:pStyle w:val="TableParagraph"/>
              <w:jc w:val="right"/>
              <w:cnfStyle w:val="100000000000" w:firstRow="1" w:lastRow="0" w:firstColumn="0" w:lastColumn="0" w:oddVBand="0" w:evenVBand="0" w:oddHBand="0" w:evenHBand="0" w:firstRowFirstColumn="0" w:firstRowLastColumn="0" w:lastRowFirstColumn="0" w:lastRowLastColumn="0"/>
              <w:rPr>
                <w:rFonts w:cs="Calibri"/>
                <w:b w:val="0"/>
                <w:bCs w:val="0"/>
                <w:szCs w:val="18"/>
              </w:rPr>
            </w:pPr>
            <w:r w:rsidRPr="00875C94">
              <w:rPr>
                <w:szCs w:val="18"/>
              </w:rPr>
              <w:t>£</w:t>
            </w:r>
          </w:p>
        </w:tc>
        <w:tc>
          <w:tcPr>
            <w:tcW w:w="963" w:type="dxa"/>
          </w:tcPr>
          <w:p w14:paraId="467297FC" w14:textId="6CDB1FC8" w:rsidR="00A637F5" w:rsidRPr="00875C94" w:rsidRDefault="00A637F5" w:rsidP="003552FF">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875C94">
              <w:rPr>
                <w:b w:val="0"/>
                <w:bCs w:val="0"/>
                <w:szCs w:val="18"/>
              </w:rPr>
              <w:t>2020</w:t>
            </w:r>
          </w:p>
          <w:p w14:paraId="2D5F23BC" w14:textId="77777777" w:rsidR="003552FF" w:rsidRPr="00875C94" w:rsidRDefault="003552FF" w:rsidP="003552FF">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p>
          <w:p w14:paraId="4659CA02" w14:textId="353D7F21" w:rsidR="003552FF" w:rsidRPr="00875C94" w:rsidRDefault="003552FF" w:rsidP="003552FF">
            <w:pPr>
              <w:pStyle w:val="TableParagraph"/>
              <w:jc w:val="right"/>
              <w:cnfStyle w:val="100000000000" w:firstRow="1" w:lastRow="0" w:firstColumn="0" w:lastColumn="0" w:oddVBand="0" w:evenVBand="0" w:oddHBand="0" w:evenHBand="0" w:firstRowFirstColumn="0" w:firstRowLastColumn="0" w:lastRowFirstColumn="0" w:lastRowLastColumn="0"/>
              <w:rPr>
                <w:rFonts w:cs="Calibri"/>
                <w:b w:val="0"/>
                <w:bCs w:val="0"/>
                <w:szCs w:val="18"/>
              </w:rPr>
            </w:pPr>
            <w:r w:rsidRPr="00875C94">
              <w:rPr>
                <w:b w:val="0"/>
                <w:bCs w:val="0"/>
                <w:szCs w:val="18"/>
              </w:rPr>
              <w:t>£</w:t>
            </w:r>
          </w:p>
        </w:tc>
      </w:tr>
      <w:tr w:rsidR="00A637F5" w:rsidRPr="00653A38" w14:paraId="20A3274E"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0674066F" w14:textId="29788C27" w:rsidR="00B35BC7" w:rsidRPr="00653A38" w:rsidRDefault="00B35BC7" w:rsidP="00B35BC7">
            <w:pPr>
              <w:pStyle w:val="TableParagraph"/>
              <w:rPr>
                <w:b w:val="0"/>
                <w:bCs w:val="0"/>
                <w:szCs w:val="18"/>
              </w:rPr>
            </w:pPr>
            <w:r w:rsidRPr="00653A38">
              <w:rPr>
                <w:rFonts w:cs="Calibri"/>
                <w:b w:val="0"/>
                <w:bCs w:val="0"/>
                <w:szCs w:val="18"/>
              </w:rPr>
              <w:t xml:space="preserve">Tangible fixed assets </w:t>
            </w:r>
          </w:p>
        </w:tc>
        <w:tc>
          <w:tcPr>
            <w:tcW w:w="505" w:type="dxa"/>
            <w:vAlign w:val="center"/>
          </w:tcPr>
          <w:p w14:paraId="2C278EBE" w14:textId="5BE558BF"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13</w:t>
            </w:r>
          </w:p>
        </w:tc>
        <w:tc>
          <w:tcPr>
            <w:tcW w:w="1178" w:type="dxa"/>
            <w:vAlign w:val="center"/>
          </w:tcPr>
          <w:p w14:paraId="049BCE44" w14:textId="088A79EC"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358,286</w:t>
            </w:r>
          </w:p>
        </w:tc>
        <w:tc>
          <w:tcPr>
            <w:tcW w:w="1039" w:type="dxa"/>
            <w:vAlign w:val="center"/>
          </w:tcPr>
          <w:p w14:paraId="3167B436" w14:textId="437400BE"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302,356</w:t>
            </w:r>
          </w:p>
        </w:tc>
        <w:tc>
          <w:tcPr>
            <w:tcW w:w="1035" w:type="dxa"/>
            <w:vAlign w:val="center"/>
          </w:tcPr>
          <w:p w14:paraId="2F63AE22" w14:textId="544D40BB"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275,263</w:t>
            </w:r>
          </w:p>
        </w:tc>
        <w:tc>
          <w:tcPr>
            <w:tcW w:w="963" w:type="dxa"/>
            <w:vAlign w:val="center"/>
          </w:tcPr>
          <w:p w14:paraId="354ADEFF" w14:textId="32B91941"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283,138</w:t>
            </w:r>
          </w:p>
        </w:tc>
      </w:tr>
      <w:tr w:rsidR="00A637F5" w:rsidRPr="00653A38" w14:paraId="72A63A12"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2E278EAA" w14:textId="10A58D1C" w:rsidR="00B35BC7" w:rsidRPr="00653A38" w:rsidRDefault="00B35BC7" w:rsidP="00B35BC7">
            <w:pPr>
              <w:pStyle w:val="TableParagraph"/>
              <w:rPr>
                <w:b w:val="0"/>
                <w:bCs w:val="0"/>
                <w:szCs w:val="18"/>
              </w:rPr>
            </w:pPr>
            <w:r w:rsidRPr="00653A38">
              <w:rPr>
                <w:rFonts w:cs="Calibri"/>
                <w:b w:val="0"/>
                <w:bCs w:val="0"/>
                <w:szCs w:val="18"/>
              </w:rPr>
              <w:t>Investment in subsidiary</w:t>
            </w:r>
          </w:p>
        </w:tc>
        <w:tc>
          <w:tcPr>
            <w:tcW w:w="505" w:type="dxa"/>
            <w:vAlign w:val="center"/>
          </w:tcPr>
          <w:p w14:paraId="3E98D37E" w14:textId="020AABDB"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16</w:t>
            </w:r>
          </w:p>
        </w:tc>
        <w:tc>
          <w:tcPr>
            <w:tcW w:w="1178" w:type="dxa"/>
            <w:vAlign w:val="center"/>
          </w:tcPr>
          <w:p w14:paraId="07F66A69" w14:textId="6E6FB0D8"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w:t>
            </w:r>
          </w:p>
        </w:tc>
        <w:tc>
          <w:tcPr>
            <w:tcW w:w="1039" w:type="dxa"/>
            <w:vAlign w:val="center"/>
          </w:tcPr>
          <w:p w14:paraId="6DD3E7C5" w14:textId="4DE048D4"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w:t>
            </w:r>
          </w:p>
        </w:tc>
        <w:tc>
          <w:tcPr>
            <w:tcW w:w="1035" w:type="dxa"/>
            <w:vAlign w:val="center"/>
          </w:tcPr>
          <w:p w14:paraId="4D9F7A40" w14:textId="3056CF3F"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b/>
                <w:bCs/>
                <w:szCs w:val="18"/>
              </w:rPr>
              <w:t>100</w:t>
            </w:r>
          </w:p>
        </w:tc>
        <w:tc>
          <w:tcPr>
            <w:tcW w:w="963" w:type="dxa"/>
            <w:vAlign w:val="center"/>
          </w:tcPr>
          <w:p w14:paraId="7B042982" w14:textId="0D5982C0"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100</w:t>
            </w:r>
          </w:p>
        </w:tc>
      </w:tr>
      <w:tr w:rsidR="00A637F5" w:rsidRPr="00653A38" w14:paraId="6D710DF4"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6E0EB335" w14:textId="3A2335F3" w:rsidR="00B35BC7" w:rsidRPr="00653A38" w:rsidRDefault="00B35BC7" w:rsidP="00B35BC7">
            <w:pPr>
              <w:pStyle w:val="TableParagraph"/>
              <w:rPr>
                <w:b w:val="0"/>
                <w:bCs w:val="0"/>
                <w:szCs w:val="18"/>
              </w:rPr>
            </w:pPr>
            <w:r w:rsidRPr="00653A38">
              <w:rPr>
                <w:rFonts w:cs="Calibri"/>
                <w:b w:val="0"/>
                <w:bCs w:val="0"/>
                <w:szCs w:val="18"/>
              </w:rPr>
              <w:t>Listed investments</w:t>
            </w:r>
          </w:p>
        </w:tc>
        <w:tc>
          <w:tcPr>
            <w:tcW w:w="505" w:type="dxa"/>
            <w:vAlign w:val="center"/>
          </w:tcPr>
          <w:p w14:paraId="44FDDD08" w14:textId="3DF9B194"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16</w:t>
            </w:r>
          </w:p>
        </w:tc>
        <w:tc>
          <w:tcPr>
            <w:tcW w:w="1178" w:type="dxa"/>
            <w:tcBorders>
              <w:bottom w:val="single" w:sz="4" w:space="0" w:color="auto"/>
            </w:tcBorders>
            <w:vAlign w:val="center"/>
          </w:tcPr>
          <w:p w14:paraId="5A156195" w14:textId="2F1E4C97"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1,041,788</w:t>
            </w:r>
          </w:p>
        </w:tc>
        <w:tc>
          <w:tcPr>
            <w:tcW w:w="1039" w:type="dxa"/>
            <w:tcBorders>
              <w:bottom w:val="single" w:sz="4" w:space="0" w:color="auto"/>
            </w:tcBorders>
            <w:vAlign w:val="center"/>
          </w:tcPr>
          <w:p w14:paraId="14D93D91" w14:textId="386CFDD2"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1,927,248</w:t>
            </w:r>
          </w:p>
        </w:tc>
        <w:tc>
          <w:tcPr>
            <w:tcW w:w="1035" w:type="dxa"/>
            <w:tcBorders>
              <w:bottom w:val="single" w:sz="4" w:space="0" w:color="auto"/>
            </w:tcBorders>
            <w:vAlign w:val="center"/>
          </w:tcPr>
          <w:p w14:paraId="57E4206F" w14:textId="48522746"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1,041,788</w:t>
            </w:r>
          </w:p>
        </w:tc>
        <w:tc>
          <w:tcPr>
            <w:tcW w:w="963" w:type="dxa"/>
            <w:tcBorders>
              <w:bottom w:val="single" w:sz="4" w:space="0" w:color="auto"/>
            </w:tcBorders>
            <w:vAlign w:val="center"/>
          </w:tcPr>
          <w:p w14:paraId="23D9FE54" w14:textId="12B974EF"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1,927,248</w:t>
            </w:r>
          </w:p>
        </w:tc>
      </w:tr>
      <w:tr w:rsidR="00A637F5" w:rsidRPr="00653A38" w14:paraId="7722FCE5"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253148F2" w14:textId="7C6CCF34" w:rsidR="00B35BC7" w:rsidRPr="00653A38" w:rsidRDefault="00B35BC7" w:rsidP="00B35BC7">
            <w:pPr>
              <w:pStyle w:val="TableParagraph"/>
              <w:rPr>
                <w:szCs w:val="18"/>
              </w:rPr>
            </w:pPr>
            <w:r w:rsidRPr="00653A38">
              <w:rPr>
                <w:szCs w:val="18"/>
              </w:rPr>
              <w:t>Total fixed assets</w:t>
            </w:r>
          </w:p>
        </w:tc>
        <w:tc>
          <w:tcPr>
            <w:tcW w:w="505" w:type="dxa"/>
            <w:vAlign w:val="center"/>
          </w:tcPr>
          <w:p w14:paraId="6EC836C4" w14:textId="7BA75256"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tcBorders>
              <w:top w:val="single" w:sz="4" w:space="0" w:color="auto"/>
            </w:tcBorders>
            <w:vAlign w:val="center"/>
          </w:tcPr>
          <w:p w14:paraId="11E9E8A7" w14:textId="5C2E2583"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1,400,074</w:t>
            </w:r>
          </w:p>
        </w:tc>
        <w:tc>
          <w:tcPr>
            <w:tcW w:w="1039" w:type="dxa"/>
            <w:tcBorders>
              <w:top w:val="single" w:sz="4" w:space="0" w:color="auto"/>
            </w:tcBorders>
            <w:vAlign w:val="center"/>
          </w:tcPr>
          <w:p w14:paraId="6D0F778E" w14:textId="547E8C38"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2,229,605</w:t>
            </w:r>
          </w:p>
        </w:tc>
        <w:tc>
          <w:tcPr>
            <w:tcW w:w="1035" w:type="dxa"/>
            <w:tcBorders>
              <w:top w:val="single" w:sz="4" w:space="0" w:color="auto"/>
            </w:tcBorders>
            <w:vAlign w:val="center"/>
          </w:tcPr>
          <w:p w14:paraId="60E09FDF" w14:textId="5286456F"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b/>
                <w:bCs/>
                <w:szCs w:val="18"/>
              </w:rPr>
              <w:t>1,317,151</w:t>
            </w:r>
          </w:p>
        </w:tc>
        <w:tc>
          <w:tcPr>
            <w:tcW w:w="963" w:type="dxa"/>
            <w:tcBorders>
              <w:top w:val="single" w:sz="4" w:space="0" w:color="auto"/>
            </w:tcBorders>
            <w:vAlign w:val="center"/>
          </w:tcPr>
          <w:p w14:paraId="62384C52" w14:textId="3E04051E"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2,210,487</w:t>
            </w:r>
          </w:p>
        </w:tc>
      </w:tr>
      <w:tr w:rsidR="00A637F5" w:rsidRPr="00653A38" w14:paraId="13652ADF"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144CCD70" w14:textId="6B846C03" w:rsidR="00B35BC7" w:rsidRPr="00653A38" w:rsidRDefault="00B35BC7" w:rsidP="00B35BC7">
            <w:pPr>
              <w:pStyle w:val="TableParagraph"/>
              <w:rPr>
                <w:szCs w:val="18"/>
              </w:rPr>
            </w:pPr>
          </w:p>
        </w:tc>
        <w:tc>
          <w:tcPr>
            <w:tcW w:w="505" w:type="dxa"/>
            <w:vAlign w:val="center"/>
          </w:tcPr>
          <w:p w14:paraId="6171F90F" w14:textId="77777777"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vAlign w:val="center"/>
          </w:tcPr>
          <w:p w14:paraId="6C6C9734" w14:textId="6199FCCF"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039" w:type="dxa"/>
            <w:vAlign w:val="center"/>
          </w:tcPr>
          <w:p w14:paraId="7A0E2009" w14:textId="4237613B"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035" w:type="dxa"/>
            <w:vAlign w:val="center"/>
          </w:tcPr>
          <w:p w14:paraId="337EC5EA" w14:textId="3C1D118F"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63" w:type="dxa"/>
            <w:vAlign w:val="center"/>
          </w:tcPr>
          <w:p w14:paraId="17C13739" w14:textId="64701D33"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A637F5" w:rsidRPr="00653A38" w14:paraId="1840B2A7"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2B2A5B05" w14:textId="69736488" w:rsidR="00B35BC7" w:rsidRPr="00653A38" w:rsidRDefault="00B35BC7" w:rsidP="00B35BC7">
            <w:pPr>
              <w:pStyle w:val="TableParagraph"/>
              <w:rPr>
                <w:szCs w:val="18"/>
              </w:rPr>
            </w:pPr>
            <w:r w:rsidRPr="00653A38">
              <w:rPr>
                <w:szCs w:val="18"/>
              </w:rPr>
              <w:t>Current assets</w:t>
            </w:r>
          </w:p>
        </w:tc>
        <w:tc>
          <w:tcPr>
            <w:tcW w:w="505" w:type="dxa"/>
            <w:vAlign w:val="center"/>
          </w:tcPr>
          <w:p w14:paraId="12F29687" w14:textId="5D0EB10A"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vAlign w:val="center"/>
          </w:tcPr>
          <w:p w14:paraId="7F8565FF" w14:textId="678187C7"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 </w:t>
            </w:r>
          </w:p>
        </w:tc>
        <w:tc>
          <w:tcPr>
            <w:tcW w:w="1039" w:type="dxa"/>
            <w:vAlign w:val="center"/>
          </w:tcPr>
          <w:p w14:paraId="0D01F5E4" w14:textId="717D76B9"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 </w:t>
            </w:r>
          </w:p>
        </w:tc>
        <w:tc>
          <w:tcPr>
            <w:tcW w:w="1035" w:type="dxa"/>
            <w:vAlign w:val="center"/>
          </w:tcPr>
          <w:p w14:paraId="63A8A311" w14:textId="474B87EE"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b/>
                <w:bCs/>
                <w:szCs w:val="18"/>
              </w:rPr>
              <w:t> </w:t>
            </w:r>
          </w:p>
        </w:tc>
        <w:tc>
          <w:tcPr>
            <w:tcW w:w="963" w:type="dxa"/>
            <w:vAlign w:val="center"/>
          </w:tcPr>
          <w:p w14:paraId="17B33B2B" w14:textId="250351C0"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 </w:t>
            </w:r>
          </w:p>
        </w:tc>
      </w:tr>
      <w:tr w:rsidR="00A637F5" w:rsidRPr="00653A38" w14:paraId="7114F9A2"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05127B86" w14:textId="205112B6" w:rsidR="00B35BC7" w:rsidRPr="00653A38" w:rsidRDefault="00B35BC7" w:rsidP="00B35BC7">
            <w:pPr>
              <w:pStyle w:val="TableParagraph"/>
              <w:rPr>
                <w:b w:val="0"/>
                <w:bCs w:val="0"/>
                <w:szCs w:val="18"/>
              </w:rPr>
            </w:pPr>
            <w:r w:rsidRPr="00653A38">
              <w:rPr>
                <w:b w:val="0"/>
                <w:bCs w:val="0"/>
                <w:szCs w:val="18"/>
              </w:rPr>
              <w:t>Debtors</w:t>
            </w:r>
          </w:p>
        </w:tc>
        <w:tc>
          <w:tcPr>
            <w:tcW w:w="505" w:type="dxa"/>
            <w:vAlign w:val="center"/>
          </w:tcPr>
          <w:p w14:paraId="311988C4" w14:textId="0B63FBF5"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r w:rsidRPr="00653A38">
              <w:rPr>
                <w:rFonts w:cs="Calibri"/>
                <w:szCs w:val="18"/>
              </w:rPr>
              <w:t>17</w:t>
            </w:r>
          </w:p>
        </w:tc>
        <w:tc>
          <w:tcPr>
            <w:tcW w:w="1178" w:type="dxa"/>
            <w:vAlign w:val="center"/>
          </w:tcPr>
          <w:p w14:paraId="3BA08CD0" w14:textId="15C5AB3E"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551,113</w:t>
            </w:r>
          </w:p>
        </w:tc>
        <w:tc>
          <w:tcPr>
            <w:tcW w:w="1039" w:type="dxa"/>
            <w:vAlign w:val="center"/>
          </w:tcPr>
          <w:p w14:paraId="4DC96F08" w14:textId="5B4716B4"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777,332</w:t>
            </w:r>
          </w:p>
        </w:tc>
        <w:tc>
          <w:tcPr>
            <w:tcW w:w="1035" w:type="dxa"/>
            <w:vAlign w:val="center"/>
          </w:tcPr>
          <w:p w14:paraId="2080100D" w14:textId="513EE589"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457,891</w:t>
            </w:r>
          </w:p>
        </w:tc>
        <w:tc>
          <w:tcPr>
            <w:tcW w:w="963" w:type="dxa"/>
            <w:vAlign w:val="center"/>
          </w:tcPr>
          <w:p w14:paraId="2030089E" w14:textId="74F8930E"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692,554</w:t>
            </w:r>
          </w:p>
        </w:tc>
      </w:tr>
      <w:tr w:rsidR="00A637F5" w:rsidRPr="00653A38" w14:paraId="08B554D5"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4CB9A294" w14:textId="2A20A97B" w:rsidR="00B35BC7" w:rsidRPr="00653A38" w:rsidRDefault="00B35BC7" w:rsidP="00B35BC7">
            <w:pPr>
              <w:pStyle w:val="TableParagraph"/>
              <w:rPr>
                <w:b w:val="0"/>
                <w:bCs w:val="0"/>
                <w:szCs w:val="18"/>
              </w:rPr>
            </w:pPr>
            <w:r w:rsidRPr="00653A38">
              <w:rPr>
                <w:b w:val="0"/>
                <w:bCs w:val="0"/>
                <w:szCs w:val="18"/>
              </w:rPr>
              <w:t>Cash at bank and in hand</w:t>
            </w:r>
          </w:p>
        </w:tc>
        <w:tc>
          <w:tcPr>
            <w:tcW w:w="505" w:type="dxa"/>
            <w:vAlign w:val="center"/>
          </w:tcPr>
          <w:p w14:paraId="089EE2CF" w14:textId="17AAB9F5"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vAlign w:val="center"/>
          </w:tcPr>
          <w:p w14:paraId="526FC6E9" w14:textId="354750B4"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1,380,677</w:t>
            </w:r>
          </w:p>
        </w:tc>
        <w:tc>
          <w:tcPr>
            <w:tcW w:w="1039" w:type="dxa"/>
            <w:vAlign w:val="center"/>
          </w:tcPr>
          <w:p w14:paraId="0D0EBEE0" w14:textId="0B88B025"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663,390</w:t>
            </w:r>
          </w:p>
        </w:tc>
        <w:tc>
          <w:tcPr>
            <w:tcW w:w="1035" w:type="dxa"/>
            <w:vAlign w:val="center"/>
          </w:tcPr>
          <w:p w14:paraId="3EDED401" w14:textId="700CEA9B"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b/>
                <w:bCs/>
                <w:szCs w:val="18"/>
              </w:rPr>
              <w:t>1,329,604</w:t>
            </w:r>
          </w:p>
        </w:tc>
        <w:tc>
          <w:tcPr>
            <w:tcW w:w="963" w:type="dxa"/>
            <w:vAlign w:val="center"/>
          </w:tcPr>
          <w:p w14:paraId="681252E3" w14:textId="70E23E4D"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445,671</w:t>
            </w:r>
          </w:p>
        </w:tc>
      </w:tr>
      <w:tr w:rsidR="00A637F5" w:rsidRPr="00653A38" w14:paraId="001BA567"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2F842E8B" w14:textId="255F2C40" w:rsidR="00B35BC7" w:rsidRPr="00653A38" w:rsidRDefault="00B35BC7" w:rsidP="00B35BC7">
            <w:pPr>
              <w:pStyle w:val="TableParagraph"/>
              <w:rPr>
                <w:szCs w:val="18"/>
              </w:rPr>
            </w:pPr>
            <w:r w:rsidRPr="00653A38">
              <w:rPr>
                <w:szCs w:val="18"/>
              </w:rPr>
              <w:t>Total current assets</w:t>
            </w:r>
          </w:p>
        </w:tc>
        <w:tc>
          <w:tcPr>
            <w:tcW w:w="505" w:type="dxa"/>
            <w:vAlign w:val="center"/>
          </w:tcPr>
          <w:p w14:paraId="7CFA690D" w14:textId="77777777"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vAlign w:val="center"/>
          </w:tcPr>
          <w:p w14:paraId="2D9D20C5" w14:textId="327CF5BA"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1,931,791</w:t>
            </w:r>
          </w:p>
        </w:tc>
        <w:tc>
          <w:tcPr>
            <w:tcW w:w="1039" w:type="dxa"/>
            <w:vAlign w:val="center"/>
          </w:tcPr>
          <w:p w14:paraId="7020FDEC" w14:textId="7EEBADD1"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1,440,722</w:t>
            </w:r>
          </w:p>
        </w:tc>
        <w:tc>
          <w:tcPr>
            <w:tcW w:w="1035" w:type="dxa"/>
            <w:vAlign w:val="center"/>
          </w:tcPr>
          <w:p w14:paraId="4FC4C801" w14:textId="3278358B"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1,787,496</w:t>
            </w:r>
          </w:p>
        </w:tc>
        <w:tc>
          <w:tcPr>
            <w:tcW w:w="963" w:type="dxa"/>
            <w:vAlign w:val="center"/>
          </w:tcPr>
          <w:p w14:paraId="7FF92D69" w14:textId="48AAF0D5"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1,138,225</w:t>
            </w:r>
          </w:p>
        </w:tc>
      </w:tr>
      <w:tr w:rsidR="00A637F5" w:rsidRPr="00653A38" w14:paraId="68A47A57"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3FA510F9" w14:textId="77777777" w:rsidR="00B35BC7" w:rsidRPr="00653A38" w:rsidRDefault="00B35BC7" w:rsidP="00B35BC7">
            <w:pPr>
              <w:pStyle w:val="TableParagraph"/>
              <w:rPr>
                <w:szCs w:val="18"/>
              </w:rPr>
            </w:pPr>
          </w:p>
        </w:tc>
        <w:tc>
          <w:tcPr>
            <w:tcW w:w="505" w:type="dxa"/>
            <w:vAlign w:val="center"/>
          </w:tcPr>
          <w:p w14:paraId="3A88EEE9" w14:textId="32F2F3B1"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vAlign w:val="center"/>
          </w:tcPr>
          <w:p w14:paraId="32422953" w14:textId="3BC295A0"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039" w:type="dxa"/>
            <w:vAlign w:val="center"/>
          </w:tcPr>
          <w:p w14:paraId="1A894B46" w14:textId="66BD647C"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035" w:type="dxa"/>
            <w:vAlign w:val="center"/>
          </w:tcPr>
          <w:p w14:paraId="0D8D4A70" w14:textId="1AA8A702"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3" w:type="dxa"/>
            <w:vAlign w:val="center"/>
          </w:tcPr>
          <w:p w14:paraId="7CAB9AFB" w14:textId="6CF85A62"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637F5" w:rsidRPr="00653A38" w14:paraId="7F1A36B9"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08F64D20" w14:textId="5B3B722C" w:rsidR="00B35BC7" w:rsidRPr="00653A38" w:rsidRDefault="00A637F5" w:rsidP="00B35BC7">
            <w:pPr>
              <w:pStyle w:val="TableParagraph"/>
              <w:rPr>
                <w:szCs w:val="18"/>
              </w:rPr>
            </w:pPr>
            <w:r w:rsidRPr="00653A38">
              <w:rPr>
                <w:szCs w:val="18"/>
              </w:rPr>
              <w:t>Current liabilities</w:t>
            </w:r>
          </w:p>
        </w:tc>
        <w:tc>
          <w:tcPr>
            <w:tcW w:w="505" w:type="dxa"/>
            <w:vAlign w:val="center"/>
          </w:tcPr>
          <w:p w14:paraId="6BF97F37" w14:textId="0BACA002"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bottom w:val="single" w:sz="4" w:space="0" w:color="auto"/>
            </w:tcBorders>
            <w:vAlign w:val="center"/>
          </w:tcPr>
          <w:p w14:paraId="5D9262D4" w14:textId="73673B35"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 </w:t>
            </w:r>
          </w:p>
        </w:tc>
        <w:tc>
          <w:tcPr>
            <w:tcW w:w="1039" w:type="dxa"/>
            <w:tcBorders>
              <w:bottom w:val="single" w:sz="4" w:space="0" w:color="auto"/>
            </w:tcBorders>
            <w:vAlign w:val="center"/>
          </w:tcPr>
          <w:p w14:paraId="46A3873E" w14:textId="647E2149"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 </w:t>
            </w:r>
          </w:p>
        </w:tc>
        <w:tc>
          <w:tcPr>
            <w:tcW w:w="1035" w:type="dxa"/>
            <w:tcBorders>
              <w:bottom w:val="single" w:sz="4" w:space="0" w:color="auto"/>
            </w:tcBorders>
            <w:vAlign w:val="center"/>
          </w:tcPr>
          <w:p w14:paraId="246E6164" w14:textId="24474ABC"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 </w:t>
            </w:r>
          </w:p>
        </w:tc>
        <w:tc>
          <w:tcPr>
            <w:tcW w:w="963" w:type="dxa"/>
            <w:tcBorders>
              <w:bottom w:val="single" w:sz="4" w:space="0" w:color="auto"/>
            </w:tcBorders>
            <w:vAlign w:val="center"/>
          </w:tcPr>
          <w:p w14:paraId="0BAE7C25" w14:textId="61A3CD77"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 </w:t>
            </w:r>
          </w:p>
        </w:tc>
      </w:tr>
      <w:tr w:rsidR="00A637F5" w:rsidRPr="00653A38" w14:paraId="2D0688F1"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2BB24222" w14:textId="0FC74004" w:rsidR="00B35BC7" w:rsidRPr="00653A38" w:rsidRDefault="00A637F5" w:rsidP="00B35BC7">
            <w:pPr>
              <w:pStyle w:val="TableParagraph"/>
              <w:rPr>
                <w:b w:val="0"/>
                <w:bCs w:val="0"/>
                <w:szCs w:val="18"/>
              </w:rPr>
            </w:pPr>
            <w:r w:rsidRPr="00653A38">
              <w:rPr>
                <w:b w:val="0"/>
                <w:bCs w:val="0"/>
                <w:szCs w:val="18"/>
              </w:rPr>
              <w:t>Creditors: amounts falling due within one year</w:t>
            </w:r>
          </w:p>
        </w:tc>
        <w:tc>
          <w:tcPr>
            <w:tcW w:w="505" w:type="dxa"/>
            <w:vAlign w:val="center"/>
          </w:tcPr>
          <w:p w14:paraId="709FCD9E" w14:textId="640E3B2D"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18</w:t>
            </w:r>
          </w:p>
        </w:tc>
        <w:tc>
          <w:tcPr>
            <w:tcW w:w="1178" w:type="dxa"/>
            <w:tcBorders>
              <w:top w:val="single" w:sz="4" w:space="0" w:color="auto"/>
              <w:bottom w:val="single" w:sz="4" w:space="0" w:color="auto"/>
            </w:tcBorders>
            <w:vAlign w:val="center"/>
          </w:tcPr>
          <w:p w14:paraId="3DA01A3D" w14:textId="11010B3C"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(931,745)</w:t>
            </w:r>
          </w:p>
        </w:tc>
        <w:tc>
          <w:tcPr>
            <w:tcW w:w="1039" w:type="dxa"/>
            <w:tcBorders>
              <w:top w:val="single" w:sz="4" w:space="0" w:color="auto"/>
              <w:bottom w:val="single" w:sz="4" w:space="0" w:color="auto"/>
            </w:tcBorders>
            <w:vAlign w:val="center"/>
          </w:tcPr>
          <w:p w14:paraId="309C0D92" w14:textId="019BF7A9"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(1,132,474)</w:t>
            </w:r>
          </w:p>
        </w:tc>
        <w:tc>
          <w:tcPr>
            <w:tcW w:w="1035" w:type="dxa"/>
            <w:tcBorders>
              <w:top w:val="single" w:sz="4" w:space="0" w:color="auto"/>
              <w:bottom w:val="single" w:sz="4" w:space="0" w:color="auto"/>
            </w:tcBorders>
            <w:vAlign w:val="center"/>
          </w:tcPr>
          <w:p w14:paraId="30C998F2" w14:textId="4FFFCAAF"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b/>
                <w:bCs/>
                <w:szCs w:val="18"/>
              </w:rPr>
              <w:t>(781,762)</w:t>
            </w:r>
          </w:p>
        </w:tc>
        <w:tc>
          <w:tcPr>
            <w:tcW w:w="963" w:type="dxa"/>
            <w:tcBorders>
              <w:top w:val="single" w:sz="4" w:space="0" w:color="auto"/>
              <w:bottom w:val="single" w:sz="4" w:space="0" w:color="auto"/>
            </w:tcBorders>
            <w:vAlign w:val="center"/>
          </w:tcPr>
          <w:p w14:paraId="5242999C" w14:textId="221860B1"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(1,055,627)</w:t>
            </w:r>
          </w:p>
        </w:tc>
      </w:tr>
      <w:tr w:rsidR="00A637F5" w:rsidRPr="00653A38" w14:paraId="2140BD4B"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6EC03E45" w14:textId="04866481" w:rsidR="00B35BC7" w:rsidRPr="00653A38" w:rsidRDefault="00A637F5" w:rsidP="00A637F5">
            <w:pPr>
              <w:pStyle w:val="Default"/>
              <w:rPr>
                <w:rFonts w:ascii="FS Albert" w:hAnsi="FS Albert"/>
                <w:sz w:val="18"/>
                <w:szCs w:val="18"/>
              </w:rPr>
            </w:pPr>
            <w:r w:rsidRPr="00653A38">
              <w:rPr>
                <w:rFonts w:ascii="FS Albert" w:hAnsi="FS Albert"/>
                <w:sz w:val="18"/>
                <w:szCs w:val="18"/>
              </w:rPr>
              <w:t>Total current liabilities</w:t>
            </w:r>
          </w:p>
        </w:tc>
        <w:tc>
          <w:tcPr>
            <w:tcW w:w="505" w:type="dxa"/>
            <w:vAlign w:val="center"/>
          </w:tcPr>
          <w:p w14:paraId="6021CA29" w14:textId="77777777"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top w:val="single" w:sz="4" w:space="0" w:color="auto"/>
            </w:tcBorders>
            <w:vAlign w:val="center"/>
          </w:tcPr>
          <w:p w14:paraId="0B5572B8" w14:textId="1C422ED5"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(931,745)</w:t>
            </w:r>
          </w:p>
        </w:tc>
        <w:tc>
          <w:tcPr>
            <w:tcW w:w="1039" w:type="dxa"/>
            <w:tcBorders>
              <w:top w:val="single" w:sz="4" w:space="0" w:color="auto"/>
            </w:tcBorders>
            <w:vAlign w:val="center"/>
          </w:tcPr>
          <w:p w14:paraId="7E8F923D" w14:textId="320B74A0"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(1,132,474)</w:t>
            </w:r>
          </w:p>
        </w:tc>
        <w:tc>
          <w:tcPr>
            <w:tcW w:w="1035" w:type="dxa"/>
            <w:tcBorders>
              <w:top w:val="single" w:sz="4" w:space="0" w:color="auto"/>
            </w:tcBorders>
            <w:vAlign w:val="center"/>
          </w:tcPr>
          <w:p w14:paraId="073DD4BF" w14:textId="7C85F065"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(781,762)</w:t>
            </w:r>
          </w:p>
        </w:tc>
        <w:tc>
          <w:tcPr>
            <w:tcW w:w="963" w:type="dxa"/>
            <w:tcBorders>
              <w:top w:val="single" w:sz="4" w:space="0" w:color="auto"/>
            </w:tcBorders>
            <w:vAlign w:val="center"/>
          </w:tcPr>
          <w:p w14:paraId="1AE25FAD" w14:textId="39643D77"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(1,055,627)</w:t>
            </w:r>
          </w:p>
        </w:tc>
      </w:tr>
      <w:tr w:rsidR="00A637F5" w:rsidRPr="00653A38" w14:paraId="6D95D89E"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4BAAA88F" w14:textId="23E32537" w:rsidR="00B35BC7" w:rsidRPr="00653A38" w:rsidRDefault="00B35BC7" w:rsidP="00B35BC7">
            <w:pPr>
              <w:pStyle w:val="TableParagraph"/>
              <w:rPr>
                <w:szCs w:val="18"/>
              </w:rPr>
            </w:pPr>
          </w:p>
        </w:tc>
        <w:tc>
          <w:tcPr>
            <w:tcW w:w="505" w:type="dxa"/>
            <w:vAlign w:val="center"/>
          </w:tcPr>
          <w:p w14:paraId="6D114645" w14:textId="2DD6C8D3"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tcBorders>
              <w:bottom w:val="single" w:sz="4" w:space="0" w:color="auto"/>
            </w:tcBorders>
            <w:vAlign w:val="center"/>
          </w:tcPr>
          <w:p w14:paraId="4AC1BA7B" w14:textId="2E3B23BD"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039" w:type="dxa"/>
            <w:tcBorders>
              <w:bottom w:val="single" w:sz="4" w:space="0" w:color="auto"/>
            </w:tcBorders>
            <w:vAlign w:val="center"/>
          </w:tcPr>
          <w:p w14:paraId="167EB0AB" w14:textId="52D8F89F"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035" w:type="dxa"/>
            <w:tcBorders>
              <w:bottom w:val="single" w:sz="4" w:space="0" w:color="auto"/>
            </w:tcBorders>
            <w:vAlign w:val="center"/>
          </w:tcPr>
          <w:p w14:paraId="2AD84A19" w14:textId="41DE554C"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3" w:type="dxa"/>
            <w:tcBorders>
              <w:bottom w:val="single" w:sz="4" w:space="0" w:color="auto"/>
            </w:tcBorders>
            <w:vAlign w:val="center"/>
          </w:tcPr>
          <w:p w14:paraId="6E9A88A5" w14:textId="5913D729"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637F5" w:rsidRPr="00653A38" w14:paraId="3E86BCC2"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28A410EC" w14:textId="19CE789B" w:rsidR="00B35BC7" w:rsidRPr="00653A38" w:rsidRDefault="00B35BC7" w:rsidP="00B35BC7">
            <w:pPr>
              <w:pStyle w:val="TableParagraph"/>
              <w:rPr>
                <w:szCs w:val="18"/>
              </w:rPr>
            </w:pPr>
            <w:r w:rsidRPr="00653A38">
              <w:rPr>
                <w:szCs w:val="18"/>
              </w:rPr>
              <w:t>Net current assets</w:t>
            </w:r>
          </w:p>
        </w:tc>
        <w:tc>
          <w:tcPr>
            <w:tcW w:w="505" w:type="dxa"/>
            <w:vAlign w:val="center"/>
          </w:tcPr>
          <w:p w14:paraId="3929FA63" w14:textId="78832272"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top w:val="single" w:sz="4" w:space="0" w:color="auto"/>
            </w:tcBorders>
            <w:vAlign w:val="center"/>
          </w:tcPr>
          <w:p w14:paraId="1A777AD7" w14:textId="160046D2"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1,000,045</w:t>
            </w:r>
          </w:p>
        </w:tc>
        <w:tc>
          <w:tcPr>
            <w:tcW w:w="1039" w:type="dxa"/>
            <w:tcBorders>
              <w:top w:val="single" w:sz="4" w:space="0" w:color="auto"/>
            </w:tcBorders>
            <w:vAlign w:val="center"/>
          </w:tcPr>
          <w:p w14:paraId="279C15C9" w14:textId="3B51D353"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308,248</w:t>
            </w:r>
          </w:p>
        </w:tc>
        <w:tc>
          <w:tcPr>
            <w:tcW w:w="1035" w:type="dxa"/>
            <w:tcBorders>
              <w:top w:val="single" w:sz="4" w:space="0" w:color="auto"/>
            </w:tcBorders>
            <w:vAlign w:val="center"/>
          </w:tcPr>
          <w:p w14:paraId="5970EC8F" w14:textId="1E29C758"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1,005,733</w:t>
            </w:r>
          </w:p>
        </w:tc>
        <w:tc>
          <w:tcPr>
            <w:tcW w:w="963" w:type="dxa"/>
            <w:tcBorders>
              <w:top w:val="single" w:sz="4" w:space="0" w:color="auto"/>
            </w:tcBorders>
            <w:vAlign w:val="center"/>
          </w:tcPr>
          <w:p w14:paraId="3C724700" w14:textId="4BF81130"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82,598</w:t>
            </w:r>
          </w:p>
        </w:tc>
      </w:tr>
      <w:tr w:rsidR="00A637F5" w:rsidRPr="00653A38" w14:paraId="74223F61"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5204359E" w14:textId="77777777" w:rsidR="00B35BC7" w:rsidRPr="00653A38" w:rsidRDefault="00B35BC7" w:rsidP="00B35BC7">
            <w:pPr>
              <w:pStyle w:val="TableParagraph"/>
              <w:rPr>
                <w:szCs w:val="18"/>
              </w:rPr>
            </w:pPr>
          </w:p>
        </w:tc>
        <w:tc>
          <w:tcPr>
            <w:tcW w:w="505" w:type="dxa"/>
            <w:vAlign w:val="center"/>
          </w:tcPr>
          <w:p w14:paraId="0689D1C2" w14:textId="77777777"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tcBorders>
              <w:bottom w:val="single" w:sz="4" w:space="0" w:color="auto"/>
            </w:tcBorders>
            <w:vAlign w:val="center"/>
          </w:tcPr>
          <w:p w14:paraId="7040AD68" w14:textId="77777777"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039" w:type="dxa"/>
            <w:tcBorders>
              <w:bottom w:val="single" w:sz="4" w:space="0" w:color="auto"/>
            </w:tcBorders>
            <w:vAlign w:val="center"/>
          </w:tcPr>
          <w:p w14:paraId="2470968B" w14:textId="77777777"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035" w:type="dxa"/>
            <w:tcBorders>
              <w:bottom w:val="single" w:sz="4" w:space="0" w:color="auto"/>
            </w:tcBorders>
            <w:vAlign w:val="center"/>
          </w:tcPr>
          <w:p w14:paraId="1B2B3278" w14:textId="77777777"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3" w:type="dxa"/>
            <w:tcBorders>
              <w:bottom w:val="single" w:sz="4" w:space="0" w:color="auto"/>
            </w:tcBorders>
            <w:vAlign w:val="center"/>
          </w:tcPr>
          <w:p w14:paraId="0B9B86DA" w14:textId="77777777"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637F5" w:rsidRPr="00653A38" w14:paraId="2753A166"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60E670EF" w14:textId="12B02763" w:rsidR="00B35BC7" w:rsidRPr="00653A38" w:rsidRDefault="00B35BC7" w:rsidP="00B35BC7">
            <w:pPr>
              <w:pStyle w:val="TableParagraph"/>
              <w:rPr>
                <w:szCs w:val="18"/>
              </w:rPr>
            </w:pPr>
            <w:r w:rsidRPr="00653A38">
              <w:rPr>
                <w:szCs w:val="18"/>
              </w:rPr>
              <w:t xml:space="preserve">Total assets </w:t>
            </w:r>
            <w:proofErr w:type="gramStart"/>
            <w:r w:rsidRPr="00653A38">
              <w:rPr>
                <w:szCs w:val="18"/>
              </w:rPr>
              <w:t>less</w:t>
            </w:r>
            <w:proofErr w:type="gramEnd"/>
            <w:r w:rsidRPr="00653A38">
              <w:rPr>
                <w:szCs w:val="18"/>
              </w:rPr>
              <w:t xml:space="preserve"> current liabilities</w:t>
            </w:r>
          </w:p>
        </w:tc>
        <w:tc>
          <w:tcPr>
            <w:tcW w:w="505" w:type="dxa"/>
            <w:vAlign w:val="center"/>
          </w:tcPr>
          <w:p w14:paraId="0387750B" w14:textId="59CD78AE"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top w:val="single" w:sz="4" w:space="0" w:color="auto"/>
            </w:tcBorders>
            <w:vAlign w:val="center"/>
          </w:tcPr>
          <w:p w14:paraId="7EA1CFE7" w14:textId="64EF067B"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2,400,120</w:t>
            </w:r>
          </w:p>
        </w:tc>
        <w:tc>
          <w:tcPr>
            <w:tcW w:w="1039" w:type="dxa"/>
            <w:tcBorders>
              <w:top w:val="single" w:sz="4" w:space="0" w:color="auto"/>
            </w:tcBorders>
            <w:vAlign w:val="center"/>
          </w:tcPr>
          <w:p w14:paraId="61B3185E" w14:textId="4C5BB7F0"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2,537,853</w:t>
            </w:r>
          </w:p>
        </w:tc>
        <w:tc>
          <w:tcPr>
            <w:tcW w:w="1035" w:type="dxa"/>
            <w:tcBorders>
              <w:top w:val="single" w:sz="4" w:space="0" w:color="auto"/>
            </w:tcBorders>
            <w:vAlign w:val="center"/>
          </w:tcPr>
          <w:p w14:paraId="4CAE2558" w14:textId="6C104FAE"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2,322,884</w:t>
            </w:r>
          </w:p>
        </w:tc>
        <w:tc>
          <w:tcPr>
            <w:tcW w:w="963" w:type="dxa"/>
            <w:tcBorders>
              <w:top w:val="single" w:sz="4" w:space="0" w:color="auto"/>
            </w:tcBorders>
            <w:vAlign w:val="center"/>
          </w:tcPr>
          <w:p w14:paraId="3433AFA7" w14:textId="18392E28"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2,293,084</w:t>
            </w:r>
          </w:p>
        </w:tc>
      </w:tr>
      <w:tr w:rsidR="00A637F5" w:rsidRPr="00653A38" w14:paraId="65448421"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4E639494" w14:textId="1E328BB6" w:rsidR="00B35BC7" w:rsidRPr="00653A38" w:rsidRDefault="00B35BC7" w:rsidP="00B35BC7">
            <w:pPr>
              <w:pStyle w:val="TableParagraph"/>
              <w:rPr>
                <w:szCs w:val="18"/>
              </w:rPr>
            </w:pPr>
          </w:p>
        </w:tc>
        <w:tc>
          <w:tcPr>
            <w:tcW w:w="505" w:type="dxa"/>
            <w:vAlign w:val="center"/>
          </w:tcPr>
          <w:p w14:paraId="5D47D964" w14:textId="77777777"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vAlign w:val="center"/>
          </w:tcPr>
          <w:p w14:paraId="286BB330" w14:textId="21859F07"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039" w:type="dxa"/>
            <w:vAlign w:val="center"/>
          </w:tcPr>
          <w:p w14:paraId="333FF2F0" w14:textId="66FA0B05"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035" w:type="dxa"/>
            <w:vAlign w:val="center"/>
          </w:tcPr>
          <w:p w14:paraId="3A335E49" w14:textId="36AB5C20"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3" w:type="dxa"/>
            <w:vAlign w:val="center"/>
          </w:tcPr>
          <w:p w14:paraId="3C6CFFF9" w14:textId="1B195A56"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637F5" w:rsidRPr="00653A38" w14:paraId="546D7503"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108DCE84" w14:textId="35F840B2" w:rsidR="00B35BC7" w:rsidRPr="00653A38" w:rsidRDefault="00B35BC7" w:rsidP="00B35BC7">
            <w:pPr>
              <w:pStyle w:val="TableParagraph"/>
              <w:rPr>
                <w:szCs w:val="18"/>
              </w:rPr>
            </w:pPr>
            <w:proofErr w:type="spellStart"/>
            <w:proofErr w:type="gramStart"/>
            <w:r w:rsidRPr="00653A38">
              <w:rPr>
                <w:szCs w:val="18"/>
              </w:rPr>
              <w:t>Non current</w:t>
            </w:r>
            <w:proofErr w:type="spellEnd"/>
            <w:proofErr w:type="gramEnd"/>
            <w:r w:rsidRPr="00653A38">
              <w:rPr>
                <w:szCs w:val="18"/>
              </w:rPr>
              <w:t xml:space="preserve"> liabilities</w:t>
            </w:r>
          </w:p>
        </w:tc>
        <w:tc>
          <w:tcPr>
            <w:tcW w:w="505" w:type="dxa"/>
            <w:vAlign w:val="center"/>
          </w:tcPr>
          <w:p w14:paraId="2B386057" w14:textId="3A9BA26C"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bottom w:val="single" w:sz="4" w:space="0" w:color="auto"/>
            </w:tcBorders>
            <w:vAlign w:val="center"/>
          </w:tcPr>
          <w:p w14:paraId="2CD4C0E6" w14:textId="456C82E8"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 </w:t>
            </w:r>
          </w:p>
        </w:tc>
        <w:tc>
          <w:tcPr>
            <w:tcW w:w="1039" w:type="dxa"/>
            <w:tcBorders>
              <w:bottom w:val="single" w:sz="4" w:space="0" w:color="auto"/>
            </w:tcBorders>
            <w:vAlign w:val="center"/>
          </w:tcPr>
          <w:p w14:paraId="03E11B1A" w14:textId="297F491E"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 </w:t>
            </w:r>
          </w:p>
        </w:tc>
        <w:tc>
          <w:tcPr>
            <w:tcW w:w="1035" w:type="dxa"/>
            <w:tcBorders>
              <w:bottom w:val="single" w:sz="4" w:space="0" w:color="auto"/>
            </w:tcBorders>
            <w:vAlign w:val="center"/>
          </w:tcPr>
          <w:p w14:paraId="4A910218" w14:textId="0381A534"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 </w:t>
            </w:r>
          </w:p>
        </w:tc>
        <w:tc>
          <w:tcPr>
            <w:tcW w:w="963" w:type="dxa"/>
            <w:tcBorders>
              <w:bottom w:val="single" w:sz="4" w:space="0" w:color="auto"/>
            </w:tcBorders>
            <w:vAlign w:val="center"/>
          </w:tcPr>
          <w:p w14:paraId="78314911" w14:textId="1120E0B3"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 </w:t>
            </w:r>
          </w:p>
        </w:tc>
      </w:tr>
      <w:tr w:rsidR="00A637F5" w:rsidRPr="00653A38" w14:paraId="2EA4595D"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062ED25A" w14:textId="2A6F677D" w:rsidR="00B35BC7" w:rsidRPr="00653A38" w:rsidRDefault="00B35BC7" w:rsidP="00B35BC7">
            <w:pPr>
              <w:pStyle w:val="TableParagraph"/>
              <w:rPr>
                <w:b w:val="0"/>
                <w:bCs w:val="0"/>
                <w:szCs w:val="18"/>
              </w:rPr>
            </w:pPr>
            <w:r w:rsidRPr="00653A38">
              <w:rPr>
                <w:b w:val="0"/>
                <w:bCs w:val="0"/>
                <w:szCs w:val="18"/>
              </w:rPr>
              <w:t>Creditors: amounts falling due after one year</w:t>
            </w:r>
          </w:p>
        </w:tc>
        <w:tc>
          <w:tcPr>
            <w:tcW w:w="505" w:type="dxa"/>
            <w:vAlign w:val="center"/>
          </w:tcPr>
          <w:p w14:paraId="4D488D81" w14:textId="3558F198"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19</w:t>
            </w:r>
          </w:p>
        </w:tc>
        <w:tc>
          <w:tcPr>
            <w:tcW w:w="1178" w:type="dxa"/>
            <w:tcBorders>
              <w:top w:val="single" w:sz="4" w:space="0" w:color="auto"/>
              <w:bottom w:val="single" w:sz="4" w:space="0" w:color="auto"/>
            </w:tcBorders>
            <w:vAlign w:val="center"/>
          </w:tcPr>
          <w:p w14:paraId="73695A4A" w14:textId="30392165"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(196,457)</w:t>
            </w:r>
          </w:p>
        </w:tc>
        <w:tc>
          <w:tcPr>
            <w:tcW w:w="1039" w:type="dxa"/>
            <w:tcBorders>
              <w:top w:val="single" w:sz="4" w:space="0" w:color="auto"/>
              <w:bottom w:val="single" w:sz="4" w:space="0" w:color="auto"/>
            </w:tcBorders>
            <w:vAlign w:val="center"/>
          </w:tcPr>
          <w:p w14:paraId="0D36D2DA" w14:textId="1AC2FCFB"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(313,166)</w:t>
            </w:r>
          </w:p>
        </w:tc>
        <w:tc>
          <w:tcPr>
            <w:tcW w:w="1035" w:type="dxa"/>
            <w:tcBorders>
              <w:top w:val="single" w:sz="4" w:space="0" w:color="auto"/>
              <w:bottom w:val="single" w:sz="4" w:space="0" w:color="auto"/>
            </w:tcBorders>
            <w:vAlign w:val="center"/>
          </w:tcPr>
          <w:p w14:paraId="3E6B377E" w14:textId="456FE221"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b/>
                <w:bCs/>
                <w:szCs w:val="18"/>
              </w:rPr>
              <w:t>(90,000)</w:t>
            </w:r>
          </w:p>
        </w:tc>
        <w:tc>
          <w:tcPr>
            <w:tcW w:w="963" w:type="dxa"/>
            <w:tcBorders>
              <w:top w:val="single" w:sz="4" w:space="0" w:color="auto"/>
              <w:bottom w:val="single" w:sz="4" w:space="0" w:color="auto"/>
            </w:tcBorders>
            <w:vAlign w:val="center"/>
          </w:tcPr>
          <w:p w14:paraId="5D02E48B" w14:textId="7042E79F"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(180,000)</w:t>
            </w:r>
          </w:p>
        </w:tc>
      </w:tr>
      <w:tr w:rsidR="00A637F5" w:rsidRPr="00653A38" w14:paraId="0B621BAA"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72051D0C" w14:textId="1473ADB7" w:rsidR="00B35BC7" w:rsidRPr="00653A38" w:rsidRDefault="00B35BC7" w:rsidP="00B35BC7">
            <w:pPr>
              <w:pStyle w:val="TableParagraph"/>
              <w:rPr>
                <w:szCs w:val="18"/>
              </w:rPr>
            </w:pPr>
            <w:r w:rsidRPr="00653A38">
              <w:rPr>
                <w:szCs w:val="18"/>
              </w:rPr>
              <w:t xml:space="preserve">Total </w:t>
            </w:r>
            <w:proofErr w:type="spellStart"/>
            <w:proofErr w:type="gramStart"/>
            <w:r w:rsidRPr="00653A38">
              <w:rPr>
                <w:szCs w:val="18"/>
              </w:rPr>
              <w:t>non current</w:t>
            </w:r>
            <w:proofErr w:type="spellEnd"/>
            <w:proofErr w:type="gramEnd"/>
            <w:r w:rsidRPr="00653A38">
              <w:rPr>
                <w:szCs w:val="18"/>
              </w:rPr>
              <w:t xml:space="preserve"> liabilities</w:t>
            </w:r>
          </w:p>
        </w:tc>
        <w:tc>
          <w:tcPr>
            <w:tcW w:w="505" w:type="dxa"/>
            <w:vAlign w:val="center"/>
          </w:tcPr>
          <w:p w14:paraId="49385483" w14:textId="7FB2E2B2"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top w:val="single" w:sz="4" w:space="0" w:color="auto"/>
            </w:tcBorders>
            <w:vAlign w:val="center"/>
          </w:tcPr>
          <w:p w14:paraId="110F08DF" w14:textId="51CE71DA"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(196,457)</w:t>
            </w:r>
          </w:p>
        </w:tc>
        <w:tc>
          <w:tcPr>
            <w:tcW w:w="1039" w:type="dxa"/>
            <w:tcBorders>
              <w:top w:val="single" w:sz="4" w:space="0" w:color="auto"/>
            </w:tcBorders>
            <w:vAlign w:val="center"/>
          </w:tcPr>
          <w:p w14:paraId="4CE96E77" w14:textId="318B416A"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(313,166)</w:t>
            </w:r>
          </w:p>
        </w:tc>
        <w:tc>
          <w:tcPr>
            <w:tcW w:w="1035" w:type="dxa"/>
            <w:tcBorders>
              <w:top w:val="single" w:sz="4" w:space="0" w:color="auto"/>
            </w:tcBorders>
            <w:vAlign w:val="center"/>
          </w:tcPr>
          <w:p w14:paraId="4E4219FF" w14:textId="6B724C43"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(90,000)</w:t>
            </w:r>
          </w:p>
        </w:tc>
        <w:tc>
          <w:tcPr>
            <w:tcW w:w="963" w:type="dxa"/>
            <w:tcBorders>
              <w:top w:val="single" w:sz="4" w:space="0" w:color="auto"/>
            </w:tcBorders>
            <w:vAlign w:val="center"/>
          </w:tcPr>
          <w:p w14:paraId="762FED72" w14:textId="4EE78A7C"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(180,000)</w:t>
            </w:r>
          </w:p>
        </w:tc>
      </w:tr>
      <w:tr w:rsidR="00A637F5" w:rsidRPr="00653A38" w14:paraId="41D85D8D"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4DCBEE5F" w14:textId="3FC41DC2" w:rsidR="00B35BC7" w:rsidRPr="00653A38" w:rsidRDefault="00B35BC7" w:rsidP="00B35BC7">
            <w:pPr>
              <w:pStyle w:val="TableParagraph"/>
              <w:rPr>
                <w:szCs w:val="18"/>
              </w:rPr>
            </w:pPr>
          </w:p>
        </w:tc>
        <w:tc>
          <w:tcPr>
            <w:tcW w:w="505" w:type="dxa"/>
            <w:vAlign w:val="center"/>
          </w:tcPr>
          <w:p w14:paraId="23849365" w14:textId="1895A413"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tcBorders>
              <w:bottom w:val="single" w:sz="4" w:space="0" w:color="auto"/>
            </w:tcBorders>
            <w:vAlign w:val="center"/>
          </w:tcPr>
          <w:p w14:paraId="30175E36" w14:textId="43791E8B"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039" w:type="dxa"/>
            <w:tcBorders>
              <w:bottom w:val="single" w:sz="4" w:space="0" w:color="auto"/>
            </w:tcBorders>
            <w:vAlign w:val="center"/>
          </w:tcPr>
          <w:p w14:paraId="319DBC6B" w14:textId="07612F68"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035" w:type="dxa"/>
            <w:tcBorders>
              <w:bottom w:val="single" w:sz="4" w:space="0" w:color="auto"/>
            </w:tcBorders>
            <w:vAlign w:val="center"/>
          </w:tcPr>
          <w:p w14:paraId="6ADC8D87" w14:textId="119F2F7C"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3" w:type="dxa"/>
            <w:tcBorders>
              <w:bottom w:val="single" w:sz="4" w:space="0" w:color="auto"/>
            </w:tcBorders>
            <w:vAlign w:val="center"/>
          </w:tcPr>
          <w:p w14:paraId="51E0F5A2" w14:textId="3795D119"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637F5" w:rsidRPr="00653A38" w14:paraId="0367B974"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2489C364" w14:textId="65CDAC59" w:rsidR="00B35BC7" w:rsidRPr="00653A38" w:rsidRDefault="00B35BC7" w:rsidP="00B35BC7">
            <w:pPr>
              <w:pStyle w:val="TableParagraph"/>
              <w:rPr>
                <w:szCs w:val="18"/>
              </w:rPr>
            </w:pPr>
            <w:r w:rsidRPr="00653A38">
              <w:rPr>
                <w:szCs w:val="18"/>
              </w:rPr>
              <w:t>Net assets</w:t>
            </w:r>
          </w:p>
        </w:tc>
        <w:tc>
          <w:tcPr>
            <w:tcW w:w="505" w:type="dxa"/>
            <w:vAlign w:val="center"/>
          </w:tcPr>
          <w:p w14:paraId="54198CA6" w14:textId="0CAFC239"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top w:val="single" w:sz="4" w:space="0" w:color="auto"/>
              <w:bottom w:val="single" w:sz="4" w:space="0" w:color="auto"/>
            </w:tcBorders>
            <w:vAlign w:val="center"/>
          </w:tcPr>
          <w:p w14:paraId="7335946B" w14:textId="7E529B54"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2,203,663</w:t>
            </w:r>
          </w:p>
        </w:tc>
        <w:tc>
          <w:tcPr>
            <w:tcW w:w="1039" w:type="dxa"/>
            <w:tcBorders>
              <w:top w:val="single" w:sz="4" w:space="0" w:color="auto"/>
              <w:bottom w:val="single" w:sz="4" w:space="0" w:color="auto"/>
            </w:tcBorders>
            <w:vAlign w:val="center"/>
          </w:tcPr>
          <w:p w14:paraId="31083D84" w14:textId="0CBE1B27"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2,224,687</w:t>
            </w:r>
          </w:p>
        </w:tc>
        <w:tc>
          <w:tcPr>
            <w:tcW w:w="1035" w:type="dxa"/>
            <w:tcBorders>
              <w:top w:val="single" w:sz="4" w:space="0" w:color="auto"/>
              <w:bottom w:val="single" w:sz="4" w:space="0" w:color="auto"/>
            </w:tcBorders>
            <w:vAlign w:val="center"/>
          </w:tcPr>
          <w:p w14:paraId="636FD64F" w14:textId="33234D31"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2,232,884</w:t>
            </w:r>
          </w:p>
        </w:tc>
        <w:tc>
          <w:tcPr>
            <w:tcW w:w="963" w:type="dxa"/>
            <w:tcBorders>
              <w:top w:val="single" w:sz="4" w:space="0" w:color="auto"/>
              <w:bottom w:val="single" w:sz="4" w:space="0" w:color="auto"/>
            </w:tcBorders>
            <w:vAlign w:val="center"/>
          </w:tcPr>
          <w:p w14:paraId="6B0955AC" w14:textId="16919273"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2,113,084</w:t>
            </w:r>
          </w:p>
        </w:tc>
      </w:tr>
      <w:tr w:rsidR="00A637F5" w:rsidRPr="00653A38" w14:paraId="1E7E2BBE"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3D425448" w14:textId="77777777" w:rsidR="00B35BC7" w:rsidRPr="00653A38" w:rsidRDefault="00B35BC7" w:rsidP="00B35BC7">
            <w:pPr>
              <w:pStyle w:val="TableParagraph"/>
              <w:rPr>
                <w:szCs w:val="18"/>
              </w:rPr>
            </w:pPr>
          </w:p>
        </w:tc>
        <w:tc>
          <w:tcPr>
            <w:tcW w:w="505" w:type="dxa"/>
            <w:vAlign w:val="center"/>
          </w:tcPr>
          <w:p w14:paraId="34A83063" w14:textId="77777777"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tcBorders>
              <w:top w:val="single" w:sz="4" w:space="0" w:color="auto"/>
            </w:tcBorders>
            <w:vAlign w:val="center"/>
          </w:tcPr>
          <w:p w14:paraId="335524D3" w14:textId="77777777"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039" w:type="dxa"/>
            <w:tcBorders>
              <w:top w:val="single" w:sz="4" w:space="0" w:color="auto"/>
            </w:tcBorders>
            <w:vAlign w:val="center"/>
          </w:tcPr>
          <w:p w14:paraId="1945524B" w14:textId="77777777"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035" w:type="dxa"/>
            <w:tcBorders>
              <w:top w:val="single" w:sz="4" w:space="0" w:color="auto"/>
            </w:tcBorders>
            <w:vAlign w:val="center"/>
          </w:tcPr>
          <w:p w14:paraId="3577859A" w14:textId="77777777"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3" w:type="dxa"/>
            <w:tcBorders>
              <w:top w:val="single" w:sz="4" w:space="0" w:color="auto"/>
            </w:tcBorders>
            <w:vAlign w:val="center"/>
          </w:tcPr>
          <w:p w14:paraId="3D6ECDB6" w14:textId="77777777"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637F5" w:rsidRPr="00653A38" w14:paraId="56221DCB"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6960DE61" w14:textId="0DCADC1B" w:rsidR="00B35BC7" w:rsidRPr="00653A38" w:rsidRDefault="00B35BC7" w:rsidP="00B35BC7">
            <w:pPr>
              <w:pStyle w:val="TableParagraph"/>
              <w:rPr>
                <w:b w:val="0"/>
                <w:bCs w:val="0"/>
                <w:szCs w:val="18"/>
              </w:rPr>
            </w:pPr>
            <w:r w:rsidRPr="00653A38">
              <w:rPr>
                <w:b w:val="0"/>
                <w:bCs w:val="0"/>
                <w:szCs w:val="18"/>
              </w:rPr>
              <w:t>Represented by</w:t>
            </w:r>
          </w:p>
        </w:tc>
        <w:tc>
          <w:tcPr>
            <w:tcW w:w="505" w:type="dxa"/>
            <w:vAlign w:val="center"/>
          </w:tcPr>
          <w:p w14:paraId="44401E95" w14:textId="6125BDA9"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vAlign w:val="center"/>
          </w:tcPr>
          <w:p w14:paraId="6AE210D2" w14:textId="46525F7B"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039" w:type="dxa"/>
            <w:vAlign w:val="center"/>
          </w:tcPr>
          <w:p w14:paraId="508EF32F" w14:textId="2EB2DB68"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035" w:type="dxa"/>
            <w:vAlign w:val="center"/>
          </w:tcPr>
          <w:p w14:paraId="7D8EEE89" w14:textId="23487E48"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63" w:type="dxa"/>
            <w:vAlign w:val="center"/>
          </w:tcPr>
          <w:p w14:paraId="1DDD4542" w14:textId="76788388"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A637F5" w:rsidRPr="00653A38" w14:paraId="4549A600"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75DDC6F1" w14:textId="5F2B3AEB" w:rsidR="00B35BC7" w:rsidRPr="00653A38" w:rsidRDefault="00B35BC7" w:rsidP="00B35BC7">
            <w:pPr>
              <w:pStyle w:val="TableParagraph"/>
              <w:rPr>
                <w:szCs w:val="18"/>
              </w:rPr>
            </w:pPr>
            <w:r w:rsidRPr="00653A38">
              <w:rPr>
                <w:szCs w:val="18"/>
              </w:rPr>
              <w:t>Restricted income funds</w:t>
            </w:r>
          </w:p>
        </w:tc>
        <w:tc>
          <w:tcPr>
            <w:tcW w:w="505" w:type="dxa"/>
            <w:vAlign w:val="center"/>
          </w:tcPr>
          <w:p w14:paraId="5825EF5B" w14:textId="69ABF428"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r w:rsidRPr="00653A38">
              <w:rPr>
                <w:rFonts w:cs="Calibri"/>
                <w:szCs w:val="18"/>
              </w:rPr>
              <w:t>22a</w:t>
            </w:r>
          </w:p>
        </w:tc>
        <w:tc>
          <w:tcPr>
            <w:tcW w:w="1178" w:type="dxa"/>
            <w:vAlign w:val="center"/>
          </w:tcPr>
          <w:p w14:paraId="425C4DCD" w14:textId="04C28D15"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1,419</w:t>
            </w:r>
          </w:p>
        </w:tc>
        <w:tc>
          <w:tcPr>
            <w:tcW w:w="1039" w:type="dxa"/>
            <w:vAlign w:val="center"/>
          </w:tcPr>
          <w:p w14:paraId="22328186" w14:textId="36AB1D58"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7,130</w:t>
            </w:r>
          </w:p>
        </w:tc>
        <w:tc>
          <w:tcPr>
            <w:tcW w:w="1035" w:type="dxa"/>
            <w:vAlign w:val="center"/>
          </w:tcPr>
          <w:p w14:paraId="37FF8524" w14:textId="5D919414"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b/>
                <w:bCs/>
                <w:szCs w:val="18"/>
              </w:rPr>
              <w:t>1,419</w:t>
            </w:r>
          </w:p>
        </w:tc>
        <w:tc>
          <w:tcPr>
            <w:tcW w:w="963" w:type="dxa"/>
            <w:vAlign w:val="center"/>
          </w:tcPr>
          <w:p w14:paraId="7BFAB161" w14:textId="34EABEAC"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7,130</w:t>
            </w:r>
          </w:p>
        </w:tc>
      </w:tr>
      <w:tr w:rsidR="00A637F5" w:rsidRPr="00653A38" w14:paraId="04C6B51D"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35722CB6" w14:textId="4AFCC32D" w:rsidR="00B35BC7" w:rsidRPr="00653A38" w:rsidRDefault="00B35BC7" w:rsidP="00B35BC7">
            <w:pPr>
              <w:pStyle w:val="TableParagraph"/>
              <w:rPr>
                <w:szCs w:val="18"/>
              </w:rPr>
            </w:pPr>
          </w:p>
        </w:tc>
        <w:tc>
          <w:tcPr>
            <w:tcW w:w="505" w:type="dxa"/>
            <w:vAlign w:val="center"/>
          </w:tcPr>
          <w:p w14:paraId="782A0C5E" w14:textId="77777777"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vAlign w:val="center"/>
          </w:tcPr>
          <w:p w14:paraId="00297294" w14:textId="7684429F"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039" w:type="dxa"/>
            <w:vAlign w:val="center"/>
          </w:tcPr>
          <w:p w14:paraId="6DCAC4F3" w14:textId="707FEBC1"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035" w:type="dxa"/>
            <w:vAlign w:val="center"/>
          </w:tcPr>
          <w:p w14:paraId="740FEDEE" w14:textId="17FD6E5F"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963" w:type="dxa"/>
            <w:vAlign w:val="center"/>
          </w:tcPr>
          <w:p w14:paraId="6717AA21" w14:textId="1E96BDD6"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A637F5" w:rsidRPr="00653A38" w14:paraId="0F059364"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561ED46E" w14:textId="1EC2E2D5" w:rsidR="00B35BC7" w:rsidRPr="00653A38" w:rsidRDefault="00B35BC7" w:rsidP="00B35BC7">
            <w:pPr>
              <w:pStyle w:val="TableParagraph"/>
              <w:rPr>
                <w:b w:val="0"/>
                <w:bCs w:val="0"/>
                <w:szCs w:val="18"/>
              </w:rPr>
            </w:pPr>
            <w:r w:rsidRPr="00653A38">
              <w:rPr>
                <w:b w:val="0"/>
                <w:bCs w:val="0"/>
                <w:szCs w:val="18"/>
              </w:rPr>
              <w:t>Unrestricted funds:</w:t>
            </w:r>
          </w:p>
        </w:tc>
        <w:tc>
          <w:tcPr>
            <w:tcW w:w="505" w:type="dxa"/>
            <w:vAlign w:val="center"/>
          </w:tcPr>
          <w:p w14:paraId="77C850F5" w14:textId="77777777"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tcBorders>
              <w:bottom w:val="single" w:sz="4" w:space="0" w:color="auto"/>
            </w:tcBorders>
            <w:vAlign w:val="center"/>
          </w:tcPr>
          <w:p w14:paraId="5AD6AE67" w14:textId="47E90208"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039" w:type="dxa"/>
            <w:tcBorders>
              <w:bottom w:val="single" w:sz="4" w:space="0" w:color="auto"/>
            </w:tcBorders>
            <w:vAlign w:val="center"/>
          </w:tcPr>
          <w:p w14:paraId="4E092CAD" w14:textId="72A53B83"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035" w:type="dxa"/>
            <w:tcBorders>
              <w:bottom w:val="single" w:sz="4" w:space="0" w:color="auto"/>
            </w:tcBorders>
            <w:vAlign w:val="center"/>
          </w:tcPr>
          <w:p w14:paraId="1B028C93" w14:textId="3ACA016B"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963" w:type="dxa"/>
            <w:tcBorders>
              <w:bottom w:val="single" w:sz="4" w:space="0" w:color="auto"/>
            </w:tcBorders>
            <w:vAlign w:val="center"/>
          </w:tcPr>
          <w:p w14:paraId="29F4B9B4" w14:textId="37F4861E"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637F5" w:rsidRPr="00653A38" w14:paraId="105D88EF"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63F42497" w14:textId="46CFCF83" w:rsidR="00B35BC7" w:rsidRPr="00653A38" w:rsidRDefault="00B35BC7" w:rsidP="00B35BC7">
            <w:pPr>
              <w:pStyle w:val="TableParagraph"/>
              <w:rPr>
                <w:b w:val="0"/>
                <w:bCs w:val="0"/>
                <w:szCs w:val="18"/>
              </w:rPr>
            </w:pPr>
            <w:r w:rsidRPr="00653A38">
              <w:rPr>
                <w:b w:val="0"/>
                <w:bCs w:val="0"/>
                <w:szCs w:val="18"/>
              </w:rPr>
              <w:t>Designated funds</w:t>
            </w:r>
          </w:p>
        </w:tc>
        <w:tc>
          <w:tcPr>
            <w:tcW w:w="505" w:type="dxa"/>
            <w:vAlign w:val="center"/>
          </w:tcPr>
          <w:p w14:paraId="282C96B7" w14:textId="4DBACC6A"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top w:val="single" w:sz="4" w:space="0" w:color="auto"/>
            </w:tcBorders>
            <w:vAlign w:val="center"/>
          </w:tcPr>
          <w:p w14:paraId="519EA67F" w14:textId="51652517"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597,568</w:t>
            </w:r>
          </w:p>
        </w:tc>
        <w:tc>
          <w:tcPr>
            <w:tcW w:w="1039" w:type="dxa"/>
            <w:tcBorders>
              <w:top w:val="single" w:sz="4" w:space="0" w:color="auto"/>
            </w:tcBorders>
            <w:vAlign w:val="center"/>
          </w:tcPr>
          <w:p w14:paraId="44229AC6" w14:textId="0B6D540E"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678,000</w:t>
            </w:r>
          </w:p>
        </w:tc>
        <w:tc>
          <w:tcPr>
            <w:tcW w:w="1035" w:type="dxa"/>
            <w:tcBorders>
              <w:top w:val="single" w:sz="4" w:space="0" w:color="auto"/>
            </w:tcBorders>
            <w:vAlign w:val="center"/>
          </w:tcPr>
          <w:p w14:paraId="3920BEC9" w14:textId="7DB99513"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597,568</w:t>
            </w:r>
          </w:p>
        </w:tc>
        <w:tc>
          <w:tcPr>
            <w:tcW w:w="963" w:type="dxa"/>
            <w:tcBorders>
              <w:top w:val="single" w:sz="4" w:space="0" w:color="auto"/>
            </w:tcBorders>
            <w:vAlign w:val="center"/>
          </w:tcPr>
          <w:p w14:paraId="2030F6A7" w14:textId="301E5FC7"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678,000</w:t>
            </w:r>
          </w:p>
        </w:tc>
      </w:tr>
      <w:tr w:rsidR="00A637F5" w:rsidRPr="00653A38" w14:paraId="674615D9"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6F5AFD15" w14:textId="1F31C8A4" w:rsidR="00B35BC7" w:rsidRPr="00653A38" w:rsidRDefault="00B35BC7" w:rsidP="00B35BC7">
            <w:pPr>
              <w:pStyle w:val="TableParagraph"/>
              <w:rPr>
                <w:b w:val="0"/>
                <w:bCs w:val="0"/>
                <w:szCs w:val="18"/>
              </w:rPr>
            </w:pPr>
            <w:r w:rsidRPr="00653A38">
              <w:rPr>
                <w:b w:val="0"/>
                <w:bCs w:val="0"/>
                <w:szCs w:val="18"/>
              </w:rPr>
              <w:t>General funds</w:t>
            </w:r>
          </w:p>
        </w:tc>
        <w:tc>
          <w:tcPr>
            <w:tcW w:w="505" w:type="dxa"/>
            <w:vAlign w:val="center"/>
          </w:tcPr>
          <w:p w14:paraId="10AC11AF" w14:textId="3CFB25DB" w:rsidR="00B35BC7" w:rsidRPr="00653A38" w:rsidRDefault="00B35BC7"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tcBorders>
              <w:bottom w:val="single" w:sz="4" w:space="0" w:color="auto"/>
            </w:tcBorders>
            <w:vAlign w:val="center"/>
          </w:tcPr>
          <w:p w14:paraId="342F0E36" w14:textId="184D319B"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1,604,676</w:t>
            </w:r>
          </w:p>
        </w:tc>
        <w:tc>
          <w:tcPr>
            <w:tcW w:w="1039" w:type="dxa"/>
            <w:tcBorders>
              <w:bottom w:val="single" w:sz="4" w:space="0" w:color="auto"/>
            </w:tcBorders>
            <w:vAlign w:val="center"/>
          </w:tcPr>
          <w:p w14:paraId="36493F5B" w14:textId="6474D8C1"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1,539,557</w:t>
            </w:r>
          </w:p>
        </w:tc>
        <w:tc>
          <w:tcPr>
            <w:tcW w:w="1035" w:type="dxa"/>
            <w:tcBorders>
              <w:bottom w:val="single" w:sz="4" w:space="0" w:color="auto"/>
            </w:tcBorders>
            <w:vAlign w:val="center"/>
          </w:tcPr>
          <w:p w14:paraId="171EE203" w14:textId="71AC4EF5" w:rsidR="00B35BC7" w:rsidRPr="00653A38"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653A38">
              <w:rPr>
                <w:rFonts w:cs="Calibri"/>
                <w:b/>
                <w:bCs/>
                <w:szCs w:val="18"/>
              </w:rPr>
              <w:t>1,633,898</w:t>
            </w:r>
          </w:p>
        </w:tc>
        <w:tc>
          <w:tcPr>
            <w:tcW w:w="963" w:type="dxa"/>
            <w:tcBorders>
              <w:bottom w:val="single" w:sz="4" w:space="0" w:color="auto"/>
            </w:tcBorders>
            <w:vAlign w:val="center"/>
          </w:tcPr>
          <w:p w14:paraId="77898B1C" w14:textId="7A5E0DF4" w:rsidR="00B35BC7" w:rsidRPr="00875C94" w:rsidRDefault="00B35BC7" w:rsidP="00B35BC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1,427,954</w:t>
            </w:r>
          </w:p>
        </w:tc>
      </w:tr>
      <w:tr w:rsidR="00A637F5" w:rsidRPr="00653A38" w14:paraId="304C3E59"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06C11867" w14:textId="1B9853D1" w:rsidR="00B35BC7" w:rsidRPr="00653A38" w:rsidRDefault="00B35BC7" w:rsidP="00B35BC7">
            <w:pPr>
              <w:pStyle w:val="TableParagraph"/>
              <w:rPr>
                <w:szCs w:val="18"/>
              </w:rPr>
            </w:pPr>
            <w:r w:rsidRPr="00653A38">
              <w:rPr>
                <w:szCs w:val="18"/>
              </w:rPr>
              <w:t>Total unrestricted funds</w:t>
            </w:r>
          </w:p>
        </w:tc>
        <w:tc>
          <w:tcPr>
            <w:tcW w:w="505" w:type="dxa"/>
            <w:vAlign w:val="center"/>
          </w:tcPr>
          <w:p w14:paraId="38D1D07B" w14:textId="1240D1D5" w:rsidR="00B35BC7" w:rsidRPr="00653A38" w:rsidRDefault="00B35BC7"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top w:val="single" w:sz="4" w:space="0" w:color="auto"/>
            </w:tcBorders>
            <w:vAlign w:val="center"/>
          </w:tcPr>
          <w:p w14:paraId="6437C6D6" w14:textId="0BBB0F58"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2,202,244</w:t>
            </w:r>
          </w:p>
        </w:tc>
        <w:tc>
          <w:tcPr>
            <w:tcW w:w="1039" w:type="dxa"/>
            <w:tcBorders>
              <w:top w:val="single" w:sz="4" w:space="0" w:color="auto"/>
            </w:tcBorders>
            <w:vAlign w:val="center"/>
          </w:tcPr>
          <w:p w14:paraId="4198DDE3" w14:textId="4B688DC0"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2,217,557</w:t>
            </w:r>
          </w:p>
        </w:tc>
        <w:tc>
          <w:tcPr>
            <w:tcW w:w="1035" w:type="dxa"/>
            <w:tcBorders>
              <w:top w:val="single" w:sz="4" w:space="0" w:color="auto"/>
            </w:tcBorders>
            <w:vAlign w:val="center"/>
          </w:tcPr>
          <w:p w14:paraId="31837304" w14:textId="401CFE3E" w:rsidR="00B35BC7" w:rsidRPr="00653A38"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2,231,466</w:t>
            </w:r>
          </w:p>
        </w:tc>
        <w:tc>
          <w:tcPr>
            <w:tcW w:w="963" w:type="dxa"/>
            <w:tcBorders>
              <w:top w:val="single" w:sz="4" w:space="0" w:color="auto"/>
            </w:tcBorders>
            <w:vAlign w:val="center"/>
          </w:tcPr>
          <w:p w14:paraId="23B0E8E2" w14:textId="7A8831CF" w:rsidR="00B35BC7" w:rsidRPr="00875C94" w:rsidRDefault="00B35BC7" w:rsidP="00B35BC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2,105,954</w:t>
            </w:r>
          </w:p>
        </w:tc>
      </w:tr>
      <w:tr w:rsidR="00A637F5" w:rsidRPr="00653A38" w14:paraId="41E49349" w14:textId="77777777" w:rsidTr="00875C94">
        <w:tc>
          <w:tcPr>
            <w:cnfStyle w:val="001000000000" w:firstRow="0" w:lastRow="0" w:firstColumn="1" w:lastColumn="0" w:oddVBand="0" w:evenVBand="0" w:oddHBand="0" w:evenHBand="0" w:firstRowFirstColumn="0" w:firstRowLastColumn="0" w:lastRowFirstColumn="0" w:lastRowLastColumn="0"/>
            <w:tcW w:w="4323" w:type="dxa"/>
            <w:vAlign w:val="center"/>
          </w:tcPr>
          <w:p w14:paraId="5468A17B" w14:textId="77777777" w:rsidR="00A637F5" w:rsidRPr="00653A38" w:rsidRDefault="00A637F5" w:rsidP="00A637F5">
            <w:pPr>
              <w:pStyle w:val="TableParagraph"/>
              <w:rPr>
                <w:szCs w:val="18"/>
              </w:rPr>
            </w:pPr>
          </w:p>
        </w:tc>
        <w:tc>
          <w:tcPr>
            <w:tcW w:w="505" w:type="dxa"/>
            <w:vAlign w:val="center"/>
          </w:tcPr>
          <w:p w14:paraId="4D07E092" w14:textId="77777777" w:rsidR="00A637F5" w:rsidRPr="00653A38" w:rsidRDefault="00A637F5" w:rsidP="00A637F5">
            <w:pPr>
              <w:pStyle w:val="TableParagraph"/>
              <w:cnfStyle w:val="000000000000" w:firstRow="0" w:lastRow="0" w:firstColumn="0" w:lastColumn="0" w:oddVBand="0" w:evenVBand="0" w:oddHBand="0" w:evenHBand="0" w:firstRowFirstColumn="0" w:firstRowLastColumn="0" w:lastRowFirstColumn="0" w:lastRowLastColumn="0"/>
              <w:rPr>
                <w:szCs w:val="18"/>
              </w:rPr>
            </w:pPr>
          </w:p>
        </w:tc>
        <w:tc>
          <w:tcPr>
            <w:tcW w:w="1178" w:type="dxa"/>
            <w:tcBorders>
              <w:bottom w:val="single" w:sz="4" w:space="0" w:color="auto"/>
            </w:tcBorders>
            <w:vAlign w:val="center"/>
          </w:tcPr>
          <w:p w14:paraId="423F28AA" w14:textId="77777777" w:rsidR="00A637F5" w:rsidRPr="00875C94" w:rsidRDefault="00A637F5" w:rsidP="00A637F5">
            <w:pPr>
              <w:pStyle w:val="TableParagraph"/>
              <w:jc w:val="right"/>
              <w:cnfStyle w:val="000000000000" w:firstRow="0" w:lastRow="0" w:firstColumn="0" w:lastColumn="0" w:oddVBand="0" w:evenVBand="0" w:oddHBand="0" w:evenHBand="0" w:firstRowFirstColumn="0" w:firstRowLastColumn="0" w:lastRowFirstColumn="0" w:lastRowLastColumn="0"/>
              <w:rPr>
                <w:rFonts w:cs="Calibri"/>
                <w:b/>
                <w:bCs/>
                <w:szCs w:val="18"/>
              </w:rPr>
            </w:pPr>
          </w:p>
        </w:tc>
        <w:tc>
          <w:tcPr>
            <w:tcW w:w="1039" w:type="dxa"/>
            <w:tcBorders>
              <w:bottom w:val="single" w:sz="4" w:space="0" w:color="auto"/>
            </w:tcBorders>
            <w:vAlign w:val="center"/>
          </w:tcPr>
          <w:p w14:paraId="0C07E39E" w14:textId="77777777" w:rsidR="00A637F5" w:rsidRPr="00875C94" w:rsidRDefault="00A637F5" w:rsidP="00A637F5">
            <w:pPr>
              <w:pStyle w:val="TableParagraph"/>
              <w:jc w:val="right"/>
              <w:cnfStyle w:val="000000000000" w:firstRow="0" w:lastRow="0" w:firstColumn="0" w:lastColumn="0" w:oddVBand="0" w:evenVBand="0" w:oddHBand="0" w:evenHBand="0" w:firstRowFirstColumn="0" w:firstRowLastColumn="0" w:lastRowFirstColumn="0" w:lastRowLastColumn="0"/>
              <w:rPr>
                <w:rFonts w:cs="Calibri"/>
                <w:szCs w:val="18"/>
              </w:rPr>
            </w:pPr>
          </w:p>
        </w:tc>
        <w:tc>
          <w:tcPr>
            <w:tcW w:w="1035" w:type="dxa"/>
            <w:tcBorders>
              <w:bottom w:val="single" w:sz="4" w:space="0" w:color="auto"/>
            </w:tcBorders>
            <w:vAlign w:val="center"/>
          </w:tcPr>
          <w:p w14:paraId="25B3E06B" w14:textId="77777777" w:rsidR="00A637F5" w:rsidRPr="00653A38" w:rsidRDefault="00A637F5" w:rsidP="00A637F5">
            <w:pPr>
              <w:pStyle w:val="TableParagraph"/>
              <w:jc w:val="right"/>
              <w:cnfStyle w:val="000000000000" w:firstRow="0" w:lastRow="0" w:firstColumn="0" w:lastColumn="0" w:oddVBand="0" w:evenVBand="0" w:oddHBand="0" w:evenHBand="0" w:firstRowFirstColumn="0" w:firstRowLastColumn="0" w:lastRowFirstColumn="0" w:lastRowLastColumn="0"/>
              <w:rPr>
                <w:rFonts w:cs="Calibri"/>
                <w:b/>
                <w:bCs/>
                <w:szCs w:val="18"/>
              </w:rPr>
            </w:pPr>
          </w:p>
        </w:tc>
        <w:tc>
          <w:tcPr>
            <w:tcW w:w="963" w:type="dxa"/>
            <w:tcBorders>
              <w:bottom w:val="single" w:sz="4" w:space="0" w:color="auto"/>
            </w:tcBorders>
            <w:vAlign w:val="center"/>
          </w:tcPr>
          <w:p w14:paraId="00B52F4F" w14:textId="77777777" w:rsidR="00A637F5" w:rsidRPr="00875C94" w:rsidRDefault="00A637F5" w:rsidP="00A637F5">
            <w:pPr>
              <w:pStyle w:val="TableParagraph"/>
              <w:jc w:val="right"/>
              <w:cnfStyle w:val="000000000000" w:firstRow="0" w:lastRow="0" w:firstColumn="0" w:lastColumn="0" w:oddVBand="0" w:evenVBand="0" w:oddHBand="0" w:evenHBand="0" w:firstRowFirstColumn="0" w:firstRowLastColumn="0" w:lastRowFirstColumn="0" w:lastRowLastColumn="0"/>
              <w:rPr>
                <w:rFonts w:cs="Calibri"/>
                <w:szCs w:val="18"/>
              </w:rPr>
            </w:pPr>
          </w:p>
        </w:tc>
      </w:tr>
      <w:tr w:rsidR="00A637F5" w:rsidRPr="00653A38" w14:paraId="6270DE9B" w14:textId="77777777" w:rsidTr="00875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3" w:type="dxa"/>
            <w:vAlign w:val="center"/>
          </w:tcPr>
          <w:p w14:paraId="7800B9D7" w14:textId="4422B7A9" w:rsidR="00A637F5" w:rsidRPr="00653A38" w:rsidRDefault="00A637F5" w:rsidP="00A637F5">
            <w:pPr>
              <w:pStyle w:val="TableParagraph"/>
              <w:rPr>
                <w:szCs w:val="18"/>
              </w:rPr>
            </w:pPr>
            <w:r w:rsidRPr="00653A38">
              <w:rPr>
                <w:szCs w:val="18"/>
              </w:rPr>
              <w:t>Total funds</w:t>
            </w:r>
          </w:p>
        </w:tc>
        <w:tc>
          <w:tcPr>
            <w:tcW w:w="505" w:type="dxa"/>
            <w:vAlign w:val="center"/>
          </w:tcPr>
          <w:p w14:paraId="4EE66152" w14:textId="15C4A193" w:rsidR="00A637F5" w:rsidRPr="00653A38" w:rsidRDefault="00A637F5" w:rsidP="00A637F5">
            <w:pPr>
              <w:pStyle w:val="TableParagraph"/>
              <w:cnfStyle w:val="000000100000" w:firstRow="0" w:lastRow="0" w:firstColumn="0" w:lastColumn="0" w:oddVBand="0" w:evenVBand="0" w:oddHBand="1" w:evenHBand="0" w:firstRowFirstColumn="0" w:firstRowLastColumn="0" w:lastRowFirstColumn="0" w:lastRowLastColumn="0"/>
              <w:rPr>
                <w:szCs w:val="18"/>
              </w:rPr>
            </w:pPr>
          </w:p>
        </w:tc>
        <w:tc>
          <w:tcPr>
            <w:tcW w:w="1178" w:type="dxa"/>
            <w:tcBorders>
              <w:top w:val="single" w:sz="4" w:space="0" w:color="auto"/>
              <w:bottom w:val="single" w:sz="4" w:space="0" w:color="auto"/>
            </w:tcBorders>
            <w:vAlign w:val="center"/>
          </w:tcPr>
          <w:p w14:paraId="77305623" w14:textId="02ECA577" w:rsidR="00A637F5" w:rsidRPr="00875C94" w:rsidRDefault="00A637F5"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2,203,663</w:t>
            </w:r>
          </w:p>
        </w:tc>
        <w:tc>
          <w:tcPr>
            <w:tcW w:w="1039" w:type="dxa"/>
            <w:tcBorders>
              <w:top w:val="single" w:sz="4" w:space="0" w:color="auto"/>
              <w:bottom w:val="single" w:sz="4" w:space="0" w:color="auto"/>
            </w:tcBorders>
            <w:vAlign w:val="center"/>
          </w:tcPr>
          <w:p w14:paraId="10C45FBF" w14:textId="4B947C41" w:rsidR="00A637F5" w:rsidRPr="00875C94" w:rsidRDefault="00A637F5"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2,224,687</w:t>
            </w:r>
          </w:p>
        </w:tc>
        <w:tc>
          <w:tcPr>
            <w:tcW w:w="1035" w:type="dxa"/>
            <w:tcBorders>
              <w:top w:val="single" w:sz="4" w:space="0" w:color="auto"/>
              <w:bottom w:val="single" w:sz="4" w:space="0" w:color="auto"/>
            </w:tcBorders>
            <w:vAlign w:val="center"/>
          </w:tcPr>
          <w:p w14:paraId="1EEB0543" w14:textId="1A6FA209" w:rsidR="00A637F5" w:rsidRPr="00653A38" w:rsidRDefault="00A637F5"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653A38">
              <w:rPr>
                <w:rFonts w:cs="Calibri"/>
                <w:b/>
                <w:bCs/>
                <w:szCs w:val="18"/>
              </w:rPr>
              <w:t>2,232,884</w:t>
            </w:r>
          </w:p>
        </w:tc>
        <w:tc>
          <w:tcPr>
            <w:tcW w:w="963" w:type="dxa"/>
            <w:tcBorders>
              <w:top w:val="single" w:sz="4" w:space="0" w:color="auto"/>
              <w:bottom w:val="single" w:sz="4" w:space="0" w:color="auto"/>
            </w:tcBorders>
            <w:vAlign w:val="center"/>
          </w:tcPr>
          <w:p w14:paraId="5B9CE115" w14:textId="47A7E446" w:rsidR="00A637F5" w:rsidRPr="00875C94" w:rsidRDefault="00A637F5"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2,113,084</w:t>
            </w:r>
          </w:p>
        </w:tc>
      </w:tr>
    </w:tbl>
    <w:p w14:paraId="0B7055B5" w14:textId="6F94BFC4" w:rsidR="00C65369" w:rsidRPr="00653A38" w:rsidRDefault="00C65369" w:rsidP="00C65369">
      <w:pPr>
        <w:rPr>
          <w:sz w:val="18"/>
          <w:szCs w:val="18"/>
        </w:rPr>
      </w:pPr>
    </w:p>
    <w:p w14:paraId="6651E5C6" w14:textId="77777777" w:rsidR="00511D52" w:rsidRDefault="00511D52" w:rsidP="00C65369">
      <w:pPr>
        <w:rPr>
          <w:szCs w:val="24"/>
        </w:rPr>
      </w:pPr>
    </w:p>
    <w:p w14:paraId="388DB931" w14:textId="4B10CE8E" w:rsidR="00C65369" w:rsidRPr="002E2694" w:rsidRDefault="00B35BC7" w:rsidP="00C65369">
      <w:pPr>
        <w:rPr>
          <w:szCs w:val="24"/>
        </w:rPr>
      </w:pPr>
      <w:r w:rsidRPr="002E2694">
        <w:rPr>
          <w:szCs w:val="24"/>
        </w:rPr>
        <w:t xml:space="preserve">Approved by the </w:t>
      </w:r>
      <w:r w:rsidR="00D82997">
        <w:rPr>
          <w:szCs w:val="24"/>
        </w:rPr>
        <w:t>Trustee</w:t>
      </w:r>
      <w:r w:rsidRPr="002E2694">
        <w:rPr>
          <w:szCs w:val="24"/>
        </w:rPr>
        <w:t>s on 23rd September 2021 and signed on their behalf by</w:t>
      </w:r>
    </w:p>
    <w:p w14:paraId="7D6C17FA" w14:textId="4FFAABE7" w:rsidR="00C65369" w:rsidRPr="002E2694" w:rsidRDefault="00C65369" w:rsidP="00C65369">
      <w:pPr>
        <w:rPr>
          <w:szCs w:val="24"/>
        </w:rPr>
      </w:pPr>
    </w:p>
    <w:p w14:paraId="5EA1AA8A" w14:textId="44061DBF" w:rsidR="00B35BC7" w:rsidRPr="002E2694" w:rsidRDefault="00B35BC7" w:rsidP="00C65369">
      <w:pPr>
        <w:rPr>
          <w:b/>
          <w:bCs/>
          <w:szCs w:val="24"/>
        </w:rPr>
      </w:pPr>
      <w:r w:rsidRPr="002E2694">
        <w:rPr>
          <w:b/>
          <w:bCs/>
          <w:szCs w:val="24"/>
        </w:rPr>
        <w:t>Heather Goodhew</w:t>
      </w:r>
    </w:p>
    <w:p w14:paraId="34529CEA" w14:textId="47149510" w:rsidR="00B35BC7" w:rsidRPr="002E2694" w:rsidRDefault="00B35BC7" w:rsidP="00C65369">
      <w:pPr>
        <w:rPr>
          <w:szCs w:val="24"/>
        </w:rPr>
      </w:pPr>
      <w:r w:rsidRPr="002E2694">
        <w:rPr>
          <w:szCs w:val="24"/>
        </w:rPr>
        <w:t>Chair of Trustees</w:t>
      </w:r>
    </w:p>
    <w:p w14:paraId="6700634A" w14:textId="14EE09AB" w:rsidR="00C65369" w:rsidRDefault="00C65369" w:rsidP="00C65369"/>
    <w:p w14:paraId="0AF59B4C" w14:textId="0B53729A" w:rsidR="00C65369" w:rsidRDefault="00C65369">
      <w:pPr>
        <w:widowControl/>
        <w:autoSpaceDE/>
        <w:autoSpaceDN/>
      </w:pPr>
      <w:r>
        <w:br w:type="page"/>
      </w:r>
    </w:p>
    <w:p w14:paraId="1B603612" w14:textId="48B62D33" w:rsidR="00C65369" w:rsidRPr="00C65369" w:rsidRDefault="00C65369" w:rsidP="003552FF">
      <w:pPr>
        <w:pStyle w:val="Heading2"/>
      </w:pPr>
      <w:bookmarkStart w:id="15" w:name="_Toc87614394"/>
      <w:r w:rsidRPr="00C65369">
        <w:lastRenderedPageBreak/>
        <w:t>Consolidated statement of cash flows</w:t>
      </w:r>
      <w:bookmarkEnd w:id="15"/>
    </w:p>
    <w:p w14:paraId="0FF0E6BB" w14:textId="7650886B" w:rsidR="00C65369" w:rsidRPr="00C65369" w:rsidRDefault="00C65369" w:rsidP="003552FF">
      <w:pPr>
        <w:pStyle w:val="Heading3"/>
      </w:pPr>
      <w:r>
        <w:t>For the ended 31 March 2021</w:t>
      </w:r>
    </w:p>
    <w:p w14:paraId="6D34407F" w14:textId="77777777" w:rsidR="00546CE5" w:rsidRPr="00546CE5" w:rsidRDefault="00546CE5" w:rsidP="00546CE5"/>
    <w:tbl>
      <w:tblPr>
        <w:tblStyle w:val="PlainTable4"/>
        <w:tblW w:w="8647" w:type="dxa"/>
        <w:tblCellMar>
          <w:top w:w="28" w:type="dxa"/>
          <w:left w:w="57" w:type="dxa"/>
          <w:bottom w:w="28" w:type="dxa"/>
          <w:right w:w="57" w:type="dxa"/>
        </w:tblCellMar>
        <w:tblLook w:val="04A0" w:firstRow="1" w:lastRow="0" w:firstColumn="1" w:lastColumn="0" w:noHBand="0" w:noVBand="1"/>
      </w:tblPr>
      <w:tblGrid>
        <w:gridCol w:w="6180"/>
        <w:gridCol w:w="927"/>
        <w:gridCol w:w="1540"/>
      </w:tblGrid>
      <w:tr w:rsidR="00AF3F01" w:rsidRPr="00725222" w14:paraId="7F011E1E" w14:textId="77777777" w:rsidTr="00355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center"/>
          </w:tcPr>
          <w:p w14:paraId="02B1E9EE" w14:textId="4AB1BF4B" w:rsidR="00AF3F01" w:rsidRPr="00653A38" w:rsidRDefault="00AF3F01" w:rsidP="00A637F5">
            <w:pPr>
              <w:pStyle w:val="TableParagraph"/>
              <w:rPr>
                <w:rFonts w:cs="Calibri"/>
                <w:szCs w:val="18"/>
              </w:rPr>
            </w:pPr>
          </w:p>
        </w:tc>
        <w:tc>
          <w:tcPr>
            <w:tcW w:w="927" w:type="dxa"/>
          </w:tcPr>
          <w:p w14:paraId="52A01756" w14:textId="77777777" w:rsidR="00AF3F01" w:rsidRPr="00875C94" w:rsidRDefault="00AF3F01" w:rsidP="00A637F5">
            <w:pPr>
              <w:pStyle w:val="TableParagraph"/>
              <w:jc w:val="right"/>
              <w:cnfStyle w:val="100000000000" w:firstRow="1" w:lastRow="0" w:firstColumn="0" w:lastColumn="0" w:oddVBand="0" w:evenVBand="0" w:oddHBand="0" w:evenHBand="0" w:firstRowFirstColumn="0" w:firstRowLastColumn="0" w:lastRowFirstColumn="0" w:lastRowLastColumn="0"/>
              <w:rPr>
                <w:rFonts w:cs="Calibri"/>
                <w:szCs w:val="18"/>
              </w:rPr>
            </w:pPr>
            <w:r w:rsidRPr="00875C94">
              <w:rPr>
                <w:rFonts w:cs="Calibri"/>
                <w:szCs w:val="18"/>
              </w:rPr>
              <w:t>2021</w:t>
            </w:r>
          </w:p>
          <w:p w14:paraId="4CFD4672" w14:textId="62AC26B1" w:rsidR="00AF3F01" w:rsidRPr="00875C94" w:rsidRDefault="00AF3F01" w:rsidP="00A637F5">
            <w:pPr>
              <w:pStyle w:val="TableParagraph"/>
              <w:jc w:val="right"/>
              <w:cnfStyle w:val="100000000000" w:firstRow="1" w:lastRow="0" w:firstColumn="0" w:lastColumn="0" w:oddVBand="0" w:evenVBand="0" w:oddHBand="0" w:evenHBand="0" w:firstRowFirstColumn="0" w:firstRowLastColumn="0" w:lastRowFirstColumn="0" w:lastRowLastColumn="0"/>
              <w:rPr>
                <w:rFonts w:cs="Calibri"/>
                <w:szCs w:val="18"/>
              </w:rPr>
            </w:pPr>
            <w:r w:rsidRPr="00875C94">
              <w:rPr>
                <w:rFonts w:cs="Calibri"/>
                <w:szCs w:val="18"/>
              </w:rPr>
              <w:t>£</w:t>
            </w:r>
          </w:p>
        </w:tc>
        <w:tc>
          <w:tcPr>
            <w:tcW w:w="1540" w:type="dxa"/>
          </w:tcPr>
          <w:p w14:paraId="3D089F0B" w14:textId="77777777" w:rsidR="00AF3F01" w:rsidRPr="00875C94" w:rsidRDefault="00AF3F01" w:rsidP="00A637F5">
            <w:pPr>
              <w:pStyle w:val="TableParagraph"/>
              <w:jc w:val="right"/>
              <w:cnfStyle w:val="100000000000" w:firstRow="1" w:lastRow="0" w:firstColumn="0" w:lastColumn="0" w:oddVBand="0" w:evenVBand="0" w:oddHBand="0" w:evenHBand="0" w:firstRowFirstColumn="0" w:firstRowLastColumn="0" w:lastRowFirstColumn="0" w:lastRowLastColumn="0"/>
              <w:rPr>
                <w:rFonts w:cs="Calibri"/>
                <w:b w:val="0"/>
                <w:bCs w:val="0"/>
                <w:szCs w:val="18"/>
              </w:rPr>
            </w:pPr>
            <w:r w:rsidRPr="00875C94">
              <w:rPr>
                <w:rFonts w:cs="Calibri"/>
                <w:b w:val="0"/>
                <w:bCs w:val="0"/>
                <w:szCs w:val="18"/>
              </w:rPr>
              <w:t>2020</w:t>
            </w:r>
          </w:p>
          <w:p w14:paraId="5ADD8340" w14:textId="0ECA338E" w:rsidR="00AF3F01" w:rsidRPr="00875C94" w:rsidRDefault="00AF3F01" w:rsidP="00A637F5">
            <w:pPr>
              <w:pStyle w:val="TableParagraph"/>
              <w:jc w:val="right"/>
              <w:cnfStyle w:val="100000000000" w:firstRow="1" w:lastRow="0" w:firstColumn="0" w:lastColumn="0" w:oddVBand="0" w:evenVBand="0" w:oddHBand="0" w:evenHBand="0" w:firstRowFirstColumn="0" w:firstRowLastColumn="0" w:lastRowFirstColumn="0" w:lastRowLastColumn="0"/>
              <w:rPr>
                <w:rFonts w:cs="Calibri"/>
                <w:b w:val="0"/>
                <w:bCs w:val="0"/>
                <w:szCs w:val="18"/>
              </w:rPr>
            </w:pPr>
            <w:r w:rsidRPr="00875C94">
              <w:rPr>
                <w:rFonts w:cs="Calibri"/>
                <w:b w:val="0"/>
                <w:bCs w:val="0"/>
                <w:szCs w:val="18"/>
              </w:rPr>
              <w:t>£</w:t>
            </w:r>
          </w:p>
        </w:tc>
      </w:tr>
      <w:tr w:rsidR="00AF3F01" w:rsidRPr="00725222" w14:paraId="3A197028" w14:textId="77777777" w:rsidTr="00355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580C3902" w14:textId="0820396E" w:rsidR="00AF3F01" w:rsidRPr="00653A38" w:rsidRDefault="00AF3F01" w:rsidP="00A637F5">
            <w:pPr>
              <w:pStyle w:val="TableParagraph"/>
              <w:rPr>
                <w:szCs w:val="18"/>
              </w:rPr>
            </w:pPr>
            <w:r w:rsidRPr="00653A38">
              <w:rPr>
                <w:rFonts w:cs="Calibri"/>
                <w:szCs w:val="18"/>
              </w:rPr>
              <w:t>Cash flows from operating activities</w:t>
            </w:r>
          </w:p>
        </w:tc>
        <w:tc>
          <w:tcPr>
            <w:tcW w:w="927" w:type="dxa"/>
            <w:vAlign w:val="bottom"/>
          </w:tcPr>
          <w:p w14:paraId="11D3747F" w14:textId="07703EF1"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540" w:type="dxa"/>
            <w:vAlign w:val="bottom"/>
          </w:tcPr>
          <w:p w14:paraId="4DAE7DB5" w14:textId="10F84EF4"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AF3F01" w:rsidRPr="00725222" w14:paraId="36C91DB2" w14:textId="77777777" w:rsidTr="003552FF">
        <w:tc>
          <w:tcPr>
            <w:cnfStyle w:val="001000000000" w:firstRow="0" w:lastRow="0" w:firstColumn="1" w:lastColumn="0" w:oddVBand="0" w:evenVBand="0" w:oddHBand="0" w:evenHBand="0" w:firstRowFirstColumn="0" w:firstRowLastColumn="0" w:lastRowFirstColumn="0" w:lastRowLastColumn="0"/>
            <w:tcW w:w="6180" w:type="dxa"/>
            <w:vAlign w:val="bottom"/>
          </w:tcPr>
          <w:p w14:paraId="7CF07B7B" w14:textId="5747D659" w:rsidR="00AF3F01" w:rsidRPr="00653A38" w:rsidRDefault="00AF3F01" w:rsidP="00A637F5">
            <w:pPr>
              <w:pStyle w:val="TableParagraph"/>
              <w:rPr>
                <w:b w:val="0"/>
                <w:bCs w:val="0"/>
                <w:szCs w:val="18"/>
              </w:rPr>
            </w:pPr>
            <w:r w:rsidRPr="00653A38">
              <w:rPr>
                <w:rFonts w:cs="Calibri"/>
                <w:b w:val="0"/>
                <w:bCs w:val="0"/>
                <w:szCs w:val="18"/>
              </w:rPr>
              <w:t>Net (expenditure)</w:t>
            </w:r>
          </w:p>
        </w:tc>
        <w:tc>
          <w:tcPr>
            <w:tcW w:w="927" w:type="dxa"/>
            <w:vAlign w:val="bottom"/>
          </w:tcPr>
          <w:p w14:paraId="05EF9D6C" w14:textId="5156F74F"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(21,024)</w:t>
            </w:r>
          </w:p>
        </w:tc>
        <w:tc>
          <w:tcPr>
            <w:tcW w:w="1540" w:type="dxa"/>
            <w:vAlign w:val="bottom"/>
          </w:tcPr>
          <w:p w14:paraId="5DA5A573" w14:textId="212D529A"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(441,667)</w:t>
            </w:r>
          </w:p>
        </w:tc>
      </w:tr>
      <w:tr w:rsidR="00AF3F01" w:rsidRPr="00725222" w14:paraId="4D5486C2"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5C85053D" w14:textId="79F706AB" w:rsidR="00AF3F01" w:rsidRPr="00653A38" w:rsidRDefault="00AF3F01" w:rsidP="00A637F5">
            <w:pPr>
              <w:pStyle w:val="TableParagraph"/>
              <w:rPr>
                <w:b w:val="0"/>
                <w:bCs w:val="0"/>
                <w:szCs w:val="18"/>
              </w:rPr>
            </w:pPr>
            <w:r w:rsidRPr="00653A38">
              <w:rPr>
                <w:rFonts w:cs="Calibri"/>
                <w:b w:val="0"/>
                <w:bCs w:val="0"/>
                <w:szCs w:val="18"/>
              </w:rPr>
              <w:t>Add/(less):</w:t>
            </w:r>
          </w:p>
        </w:tc>
        <w:tc>
          <w:tcPr>
            <w:tcW w:w="927" w:type="dxa"/>
            <w:vAlign w:val="bottom"/>
          </w:tcPr>
          <w:p w14:paraId="49504B23" w14:textId="074C3289"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540" w:type="dxa"/>
            <w:vAlign w:val="bottom"/>
          </w:tcPr>
          <w:p w14:paraId="47E23D3F" w14:textId="0687BCC8"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AF3F01" w:rsidRPr="00725222" w14:paraId="6221A421"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3EC29765" w14:textId="14C7D55F" w:rsidR="00AF3F01" w:rsidRPr="00653A38" w:rsidRDefault="00AF3F01" w:rsidP="00A637F5">
            <w:pPr>
              <w:pStyle w:val="TableParagraph"/>
              <w:rPr>
                <w:b w:val="0"/>
                <w:bCs w:val="0"/>
                <w:szCs w:val="18"/>
              </w:rPr>
            </w:pPr>
            <w:r w:rsidRPr="00653A38">
              <w:rPr>
                <w:rFonts w:cs="Calibri"/>
                <w:b w:val="0"/>
                <w:bCs w:val="0"/>
                <w:szCs w:val="18"/>
              </w:rPr>
              <w:t>Depreciation charges</w:t>
            </w:r>
          </w:p>
        </w:tc>
        <w:tc>
          <w:tcPr>
            <w:tcW w:w="927" w:type="dxa"/>
            <w:vAlign w:val="bottom"/>
          </w:tcPr>
          <w:p w14:paraId="334261BD" w14:textId="62C69D42"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30,347</w:t>
            </w:r>
          </w:p>
        </w:tc>
        <w:tc>
          <w:tcPr>
            <w:tcW w:w="1540" w:type="dxa"/>
            <w:vAlign w:val="bottom"/>
          </w:tcPr>
          <w:p w14:paraId="4D521CA4" w14:textId="788BD978"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42,648</w:t>
            </w:r>
          </w:p>
        </w:tc>
      </w:tr>
      <w:tr w:rsidR="00AF3F01" w:rsidRPr="00725222" w14:paraId="0B4B6031"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3FA27D0D" w14:textId="51514BBE" w:rsidR="00AF3F01" w:rsidRPr="00653A38" w:rsidRDefault="00AF3F01" w:rsidP="00A637F5">
            <w:pPr>
              <w:pStyle w:val="TableParagraph"/>
              <w:rPr>
                <w:b w:val="0"/>
                <w:bCs w:val="0"/>
                <w:szCs w:val="18"/>
              </w:rPr>
            </w:pPr>
            <w:r w:rsidRPr="00653A38">
              <w:rPr>
                <w:rFonts w:cs="Calibri"/>
                <w:b w:val="0"/>
                <w:bCs w:val="0"/>
                <w:szCs w:val="18"/>
              </w:rPr>
              <w:t>Loss on disposal of fixed asset</w:t>
            </w:r>
          </w:p>
        </w:tc>
        <w:tc>
          <w:tcPr>
            <w:tcW w:w="927" w:type="dxa"/>
            <w:vAlign w:val="bottom"/>
          </w:tcPr>
          <w:p w14:paraId="4F829FAF" w14:textId="2822D166"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1,755</w:t>
            </w:r>
          </w:p>
        </w:tc>
        <w:tc>
          <w:tcPr>
            <w:tcW w:w="1540" w:type="dxa"/>
            <w:vAlign w:val="bottom"/>
          </w:tcPr>
          <w:p w14:paraId="46F049C8" w14:textId="5AC7F2D2"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w:t>
            </w:r>
          </w:p>
        </w:tc>
      </w:tr>
      <w:tr w:rsidR="00AF3F01" w:rsidRPr="00725222" w14:paraId="0EFF50CC"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65B5E5CE" w14:textId="36D394A3" w:rsidR="00AF3F01" w:rsidRPr="00653A38" w:rsidRDefault="00AF3F01" w:rsidP="00A637F5">
            <w:pPr>
              <w:pStyle w:val="TableParagraph"/>
              <w:rPr>
                <w:b w:val="0"/>
                <w:bCs w:val="0"/>
                <w:szCs w:val="18"/>
              </w:rPr>
            </w:pPr>
            <w:r w:rsidRPr="00653A38">
              <w:rPr>
                <w:rFonts w:cs="Calibri"/>
                <w:b w:val="0"/>
                <w:bCs w:val="0"/>
                <w:szCs w:val="18"/>
              </w:rPr>
              <w:t>Dividends and interest from investments</w:t>
            </w:r>
          </w:p>
        </w:tc>
        <w:tc>
          <w:tcPr>
            <w:tcW w:w="927" w:type="dxa"/>
            <w:vAlign w:val="bottom"/>
          </w:tcPr>
          <w:p w14:paraId="7B428099" w14:textId="43BB480B"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(50,429)</w:t>
            </w:r>
          </w:p>
        </w:tc>
        <w:tc>
          <w:tcPr>
            <w:tcW w:w="1540" w:type="dxa"/>
            <w:vAlign w:val="bottom"/>
          </w:tcPr>
          <w:p w14:paraId="6BAAB56F" w14:textId="02C79B1A"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(62,863)</w:t>
            </w:r>
          </w:p>
        </w:tc>
      </w:tr>
      <w:tr w:rsidR="00AF3F01" w:rsidRPr="00725222" w14:paraId="74DFE1DB"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73CB641E" w14:textId="6DF9F82B" w:rsidR="00AF3F01" w:rsidRPr="00653A38" w:rsidRDefault="00AF3F01" w:rsidP="00A637F5">
            <w:pPr>
              <w:pStyle w:val="TableParagraph"/>
              <w:rPr>
                <w:b w:val="0"/>
                <w:bCs w:val="0"/>
                <w:szCs w:val="18"/>
              </w:rPr>
            </w:pPr>
            <w:r w:rsidRPr="00653A38">
              <w:rPr>
                <w:rFonts w:cs="Calibri"/>
                <w:b w:val="0"/>
                <w:bCs w:val="0"/>
                <w:szCs w:val="18"/>
              </w:rPr>
              <w:t xml:space="preserve">(Gains)/losses on investments </w:t>
            </w:r>
          </w:p>
        </w:tc>
        <w:tc>
          <w:tcPr>
            <w:tcW w:w="927" w:type="dxa"/>
            <w:vAlign w:val="bottom"/>
          </w:tcPr>
          <w:p w14:paraId="38F0BC70" w14:textId="3E95E466"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(364,632)</w:t>
            </w:r>
          </w:p>
        </w:tc>
        <w:tc>
          <w:tcPr>
            <w:tcW w:w="1540" w:type="dxa"/>
            <w:vAlign w:val="bottom"/>
          </w:tcPr>
          <w:p w14:paraId="02E70CBA" w14:textId="1768007D"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110,175</w:t>
            </w:r>
          </w:p>
        </w:tc>
      </w:tr>
      <w:tr w:rsidR="00AF3F01" w:rsidRPr="00725222" w14:paraId="7D551A1B"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4BE887CB" w14:textId="29B28A59" w:rsidR="00AF3F01" w:rsidRPr="00653A38" w:rsidRDefault="00AF3F01" w:rsidP="00A637F5">
            <w:pPr>
              <w:pStyle w:val="TableParagraph"/>
              <w:rPr>
                <w:b w:val="0"/>
                <w:bCs w:val="0"/>
                <w:szCs w:val="18"/>
              </w:rPr>
            </w:pPr>
            <w:r w:rsidRPr="00653A38">
              <w:rPr>
                <w:rFonts w:cs="Calibri"/>
                <w:b w:val="0"/>
                <w:bCs w:val="0"/>
                <w:szCs w:val="18"/>
              </w:rPr>
              <w:t>Decrease/(increase) in debtors</w:t>
            </w:r>
          </w:p>
        </w:tc>
        <w:tc>
          <w:tcPr>
            <w:tcW w:w="927" w:type="dxa"/>
            <w:vAlign w:val="bottom"/>
          </w:tcPr>
          <w:p w14:paraId="67307B50" w14:textId="0BE78751"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226,219</w:t>
            </w:r>
          </w:p>
        </w:tc>
        <w:tc>
          <w:tcPr>
            <w:tcW w:w="1540" w:type="dxa"/>
            <w:vAlign w:val="bottom"/>
          </w:tcPr>
          <w:p w14:paraId="246622E3" w14:textId="4C3EE1FA"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(601,665)</w:t>
            </w:r>
          </w:p>
        </w:tc>
      </w:tr>
      <w:tr w:rsidR="00AF3F01" w:rsidRPr="00725222" w14:paraId="3206E8B4"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44D76E20" w14:textId="41725492" w:rsidR="00AF3F01" w:rsidRPr="00653A38" w:rsidRDefault="00AF3F01" w:rsidP="00A637F5">
            <w:pPr>
              <w:pStyle w:val="TableParagraph"/>
              <w:rPr>
                <w:b w:val="0"/>
                <w:bCs w:val="0"/>
                <w:szCs w:val="18"/>
              </w:rPr>
            </w:pPr>
            <w:r w:rsidRPr="00653A38">
              <w:rPr>
                <w:rFonts w:cs="Calibri"/>
                <w:b w:val="0"/>
                <w:bCs w:val="0"/>
                <w:szCs w:val="18"/>
              </w:rPr>
              <w:t>Increase/(decrease) in creditors</w:t>
            </w:r>
          </w:p>
        </w:tc>
        <w:tc>
          <w:tcPr>
            <w:tcW w:w="927" w:type="dxa"/>
            <w:tcBorders>
              <w:bottom w:val="single" w:sz="4" w:space="0" w:color="auto"/>
            </w:tcBorders>
            <w:vAlign w:val="bottom"/>
          </w:tcPr>
          <w:p w14:paraId="3BFEE348" w14:textId="23700C76"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(317,438)</w:t>
            </w:r>
          </w:p>
        </w:tc>
        <w:tc>
          <w:tcPr>
            <w:tcW w:w="1540" w:type="dxa"/>
            <w:tcBorders>
              <w:bottom w:val="single" w:sz="4" w:space="0" w:color="auto"/>
            </w:tcBorders>
            <w:vAlign w:val="bottom"/>
          </w:tcPr>
          <w:p w14:paraId="546140FC" w14:textId="1C9AE023"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1,034,062</w:t>
            </w:r>
          </w:p>
        </w:tc>
      </w:tr>
      <w:tr w:rsidR="00AF3F01" w:rsidRPr="00725222" w14:paraId="6590E2EA"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center"/>
          </w:tcPr>
          <w:p w14:paraId="4E19FD1C" w14:textId="50564144" w:rsidR="00AF3F01" w:rsidRPr="00653A38" w:rsidRDefault="00AF3F01" w:rsidP="00AF3F01">
            <w:pPr>
              <w:widowControl/>
              <w:autoSpaceDE/>
              <w:autoSpaceDN/>
              <w:rPr>
                <w:rFonts w:eastAsia="Times New Roman" w:cs="Calibri"/>
                <w:sz w:val="18"/>
                <w:szCs w:val="18"/>
              </w:rPr>
            </w:pPr>
            <w:r w:rsidRPr="00653A38">
              <w:rPr>
                <w:rFonts w:cs="Calibri"/>
                <w:sz w:val="18"/>
                <w:szCs w:val="18"/>
              </w:rPr>
              <w:t>Net cash flow from operating activities</w:t>
            </w:r>
          </w:p>
        </w:tc>
        <w:tc>
          <w:tcPr>
            <w:tcW w:w="927" w:type="dxa"/>
            <w:tcBorders>
              <w:top w:val="single" w:sz="4" w:space="0" w:color="auto"/>
            </w:tcBorders>
            <w:vAlign w:val="bottom"/>
          </w:tcPr>
          <w:p w14:paraId="3BE13527" w14:textId="7C956D50"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(495,201)</w:t>
            </w:r>
          </w:p>
        </w:tc>
        <w:tc>
          <w:tcPr>
            <w:tcW w:w="1540" w:type="dxa"/>
            <w:tcBorders>
              <w:top w:val="single" w:sz="4" w:space="0" w:color="auto"/>
            </w:tcBorders>
            <w:vAlign w:val="bottom"/>
          </w:tcPr>
          <w:p w14:paraId="240B6E3D" w14:textId="219A87F6"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80,690</w:t>
            </w:r>
          </w:p>
        </w:tc>
      </w:tr>
      <w:tr w:rsidR="00AF3F01" w:rsidRPr="00725222" w14:paraId="08006D23"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center"/>
          </w:tcPr>
          <w:p w14:paraId="025E132A" w14:textId="19C660F4" w:rsidR="00AF3F01" w:rsidRPr="00653A38" w:rsidRDefault="00AF3F01" w:rsidP="00A637F5">
            <w:pPr>
              <w:pStyle w:val="TableParagraph"/>
              <w:rPr>
                <w:b w:val="0"/>
                <w:bCs w:val="0"/>
                <w:szCs w:val="18"/>
              </w:rPr>
            </w:pPr>
          </w:p>
        </w:tc>
        <w:tc>
          <w:tcPr>
            <w:tcW w:w="927" w:type="dxa"/>
            <w:vAlign w:val="bottom"/>
          </w:tcPr>
          <w:p w14:paraId="3CAA915F" w14:textId="659EE3BF"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540" w:type="dxa"/>
            <w:vAlign w:val="bottom"/>
          </w:tcPr>
          <w:p w14:paraId="2F771F81" w14:textId="25C106EA"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AF3F01" w:rsidRPr="00725222" w14:paraId="7053D8DC"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13677FF4" w14:textId="4F7E6000" w:rsidR="00AF3F01" w:rsidRPr="00653A38" w:rsidRDefault="00AF3F01" w:rsidP="00A637F5">
            <w:pPr>
              <w:pStyle w:val="Default"/>
              <w:rPr>
                <w:rFonts w:ascii="FS Albert" w:hAnsi="FS Albert"/>
                <w:sz w:val="18"/>
                <w:szCs w:val="18"/>
              </w:rPr>
            </w:pPr>
            <w:r w:rsidRPr="00653A38">
              <w:rPr>
                <w:rFonts w:ascii="FS Albert" w:hAnsi="FS Albert"/>
                <w:sz w:val="18"/>
                <w:szCs w:val="18"/>
              </w:rPr>
              <w:t>Cash flows from investing activities:</w:t>
            </w:r>
          </w:p>
        </w:tc>
        <w:tc>
          <w:tcPr>
            <w:tcW w:w="927" w:type="dxa"/>
            <w:tcBorders>
              <w:bottom w:val="single" w:sz="4" w:space="0" w:color="auto"/>
            </w:tcBorders>
            <w:vAlign w:val="bottom"/>
          </w:tcPr>
          <w:p w14:paraId="3530F7BF" w14:textId="6CF291AD"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540" w:type="dxa"/>
            <w:tcBorders>
              <w:bottom w:val="single" w:sz="4" w:space="0" w:color="auto"/>
            </w:tcBorders>
            <w:vAlign w:val="bottom"/>
          </w:tcPr>
          <w:p w14:paraId="7ED29966" w14:textId="6A823C51"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F3F01" w:rsidRPr="00725222" w14:paraId="4C7A277E"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5BB36509" w14:textId="3E35D231" w:rsidR="00AF3F01" w:rsidRPr="00653A38" w:rsidRDefault="00AF3F01" w:rsidP="00A637F5">
            <w:pPr>
              <w:pStyle w:val="TableParagraph"/>
              <w:rPr>
                <w:b w:val="0"/>
                <w:bCs w:val="0"/>
                <w:szCs w:val="18"/>
              </w:rPr>
            </w:pPr>
            <w:r w:rsidRPr="00653A38">
              <w:rPr>
                <w:rFonts w:cs="Calibri"/>
                <w:b w:val="0"/>
                <w:bCs w:val="0"/>
                <w:szCs w:val="18"/>
              </w:rPr>
              <w:t xml:space="preserve">Purchase of investments </w:t>
            </w:r>
          </w:p>
        </w:tc>
        <w:tc>
          <w:tcPr>
            <w:tcW w:w="927" w:type="dxa"/>
            <w:tcBorders>
              <w:top w:val="single" w:sz="4" w:space="0" w:color="auto"/>
            </w:tcBorders>
            <w:vAlign w:val="bottom"/>
          </w:tcPr>
          <w:p w14:paraId="56ACDE0D" w14:textId="405EAB47"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w:t>
            </w:r>
          </w:p>
        </w:tc>
        <w:tc>
          <w:tcPr>
            <w:tcW w:w="1540" w:type="dxa"/>
            <w:tcBorders>
              <w:top w:val="single" w:sz="4" w:space="0" w:color="auto"/>
            </w:tcBorders>
            <w:vAlign w:val="bottom"/>
          </w:tcPr>
          <w:p w14:paraId="0A146BD9" w14:textId="3C379097"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(500,000)</w:t>
            </w:r>
          </w:p>
        </w:tc>
      </w:tr>
      <w:tr w:rsidR="00AF3F01" w:rsidRPr="00725222" w14:paraId="70DF5F46"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0549E771" w14:textId="31CD74BF" w:rsidR="00AF3F01" w:rsidRPr="00653A38" w:rsidRDefault="00AF3F01" w:rsidP="00A637F5">
            <w:pPr>
              <w:pStyle w:val="TableParagraph"/>
              <w:rPr>
                <w:b w:val="0"/>
                <w:bCs w:val="0"/>
                <w:szCs w:val="18"/>
              </w:rPr>
            </w:pPr>
            <w:r w:rsidRPr="00653A38">
              <w:rPr>
                <w:rFonts w:cs="Calibri"/>
                <w:b w:val="0"/>
                <w:bCs w:val="0"/>
                <w:szCs w:val="18"/>
              </w:rPr>
              <w:t>Sale of investments</w:t>
            </w:r>
          </w:p>
        </w:tc>
        <w:tc>
          <w:tcPr>
            <w:tcW w:w="927" w:type="dxa"/>
            <w:vAlign w:val="bottom"/>
          </w:tcPr>
          <w:p w14:paraId="694613F0" w14:textId="3AB2C035"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1,250,092</w:t>
            </w:r>
          </w:p>
        </w:tc>
        <w:tc>
          <w:tcPr>
            <w:tcW w:w="1540" w:type="dxa"/>
            <w:vAlign w:val="bottom"/>
          </w:tcPr>
          <w:p w14:paraId="403CA053" w14:textId="76847270"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w:t>
            </w:r>
          </w:p>
        </w:tc>
      </w:tr>
      <w:tr w:rsidR="00AF3F01" w:rsidRPr="00725222" w14:paraId="19134451"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4456F970" w14:textId="3204A026" w:rsidR="00AF3F01" w:rsidRPr="00653A38" w:rsidRDefault="00AF3F01" w:rsidP="00A637F5">
            <w:pPr>
              <w:pStyle w:val="TableParagraph"/>
              <w:rPr>
                <w:b w:val="0"/>
                <w:bCs w:val="0"/>
                <w:szCs w:val="18"/>
              </w:rPr>
            </w:pPr>
            <w:r w:rsidRPr="00653A38">
              <w:rPr>
                <w:rFonts w:cs="Calibri"/>
                <w:b w:val="0"/>
                <w:bCs w:val="0"/>
                <w:szCs w:val="18"/>
              </w:rPr>
              <w:t>Dividends and interest from investments</w:t>
            </w:r>
          </w:p>
        </w:tc>
        <w:tc>
          <w:tcPr>
            <w:tcW w:w="927" w:type="dxa"/>
            <w:vAlign w:val="bottom"/>
          </w:tcPr>
          <w:p w14:paraId="0214D071" w14:textId="522733F0"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50,429</w:t>
            </w:r>
          </w:p>
        </w:tc>
        <w:tc>
          <w:tcPr>
            <w:tcW w:w="1540" w:type="dxa"/>
            <w:vAlign w:val="bottom"/>
          </w:tcPr>
          <w:p w14:paraId="76C25A68" w14:textId="450064C4"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62,863</w:t>
            </w:r>
          </w:p>
        </w:tc>
      </w:tr>
      <w:tr w:rsidR="00AF3F01" w:rsidRPr="00725222" w14:paraId="4DE54027" w14:textId="77777777" w:rsidTr="003552FF">
        <w:tc>
          <w:tcPr>
            <w:cnfStyle w:val="001000000000" w:firstRow="0" w:lastRow="0" w:firstColumn="1" w:lastColumn="0" w:oddVBand="0" w:evenVBand="0" w:oddHBand="0" w:evenHBand="0" w:firstRowFirstColumn="0" w:firstRowLastColumn="0" w:lastRowFirstColumn="0" w:lastRowLastColumn="0"/>
            <w:tcW w:w="6180" w:type="dxa"/>
            <w:vAlign w:val="bottom"/>
          </w:tcPr>
          <w:p w14:paraId="133086B5" w14:textId="7680A6B2" w:rsidR="00AF3F01" w:rsidRPr="00653A38" w:rsidRDefault="00AF3F01" w:rsidP="00A637F5">
            <w:pPr>
              <w:pStyle w:val="TableParagraph"/>
              <w:rPr>
                <w:b w:val="0"/>
                <w:bCs w:val="0"/>
                <w:szCs w:val="18"/>
              </w:rPr>
            </w:pPr>
            <w:r w:rsidRPr="00653A38">
              <w:rPr>
                <w:rFonts w:cs="Calibri"/>
                <w:b w:val="0"/>
                <w:bCs w:val="0"/>
                <w:szCs w:val="18"/>
              </w:rPr>
              <w:t>Purchase of fixed assets</w:t>
            </w:r>
          </w:p>
        </w:tc>
        <w:tc>
          <w:tcPr>
            <w:tcW w:w="927" w:type="dxa"/>
            <w:tcBorders>
              <w:bottom w:val="single" w:sz="4" w:space="0" w:color="auto"/>
            </w:tcBorders>
            <w:vAlign w:val="bottom"/>
          </w:tcPr>
          <w:p w14:paraId="436FFD5E" w14:textId="3B26803B"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(88,032)</w:t>
            </w:r>
          </w:p>
        </w:tc>
        <w:tc>
          <w:tcPr>
            <w:tcW w:w="1540" w:type="dxa"/>
            <w:tcBorders>
              <w:bottom w:val="single" w:sz="4" w:space="0" w:color="auto"/>
            </w:tcBorders>
            <w:vAlign w:val="bottom"/>
          </w:tcPr>
          <w:p w14:paraId="00F18E1B" w14:textId="4F1226C8"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(22,146)</w:t>
            </w:r>
          </w:p>
        </w:tc>
      </w:tr>
      <w:tr w:rsidR="00AF3F01" w:rsidRPr="00725222" w14:paraId="6E6B33C3" w14:textId="77777777" w:rsidTr="003552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6EDB07A9" w14:textId="4087F326" w:rsidR="00AF3F01" w:rsidRPr="00653A38" w:rsidRDefault="00AF3F01" w:rsidP="00A637F5">
            <w:pPr>
              <w:pStyle w:val="TableParagraph"/>
              <w:rPr>
                <w:szCs w:val="18"/>
              </w:rPr>
            </w:pPr>
            <w:r w:rsidRPr="00653A38">
              <w:rPr>
                <w:rFonts w:cs="Calibri"/>
                <w:szCs w:val="18"/>
              </w:rPr>
              <w:t>Net cash used in investing activities</w:t>
            </w:r>
          </w:p>
        </w:tc>
        <w:tc>
          <w:tcPr>
            <w:tcW w:w="927" w:type="dxa"/>
            <w:tcBorders>
              <w:top w:val="single" w:sz="4" w:space="0" w:color="auto"/>
            </w:tcBorders>
            <w:vAlign w:val="bottom"/>
          </w:tcPr>
          <w:p w14:paraId="1D1B6110" w14:textId="0666AE36"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1,212,489</w:t>
            </w:r>
          </w:p>
        </w:tc>
        <w:tc>
          <w:tcPr>
            <w:tcW w:w="1540" w:type="dxa"/>
            <w:tcBorders>
              <w:top w:val="single" w:sz="4" w:space="0" w:color="auto"/>
            </w:tcBorders>
            <w:vAlign w:val="bottom"/>
          </w:tcPr>
          <w:p w14:paraId="78B5B845" w14:textId="3BCBEB30"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(459,283)</w:t>
            </w:r>
          </w:p>
        </w:tc>
      </w:tr>
      <w:tr w:rsidR="00AF3F01" w:rsidRPr="00725222" w14:paraId="06F8E398"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21ADB40E" w14:textId="51032D08" w:rsidR="00AF3F01" w:rsidRPr="00653A38" w:rsidRDefault="00AF3F01" w:rsidP="00A637F5">
            <w:pPr>
              <w:pStyle w:val="TableParagraph"/>
              <w:rPr>
                <w:b w:val="0"/>
                <w:bCs w:val="0"/>
                <w:szCs w:val="18"/>
              </w:rPr>
            </w:pPr>
          </w:p>
        </w:tc>
        <w:tc>
          <w:tcPr>
            <w:tcW w:w="927" w:type="dxa"/>
            <w:vAlign w:val="bottom"/>
          </w:tcPr>
          <w:p w14:paraId="213E25E1" w14:textId="43F31599"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540" w:type="dxa"/>
            <w:vAlign w:val="bottom"/>
          </w:tcPr>
          <w:p w14:paraId="3D6FD987" w14:textId="48A92497"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F3F01" w:rsidRPr="00725222" w14:paraId="3E635D68"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153FDFA4" w14:textId="01327078" w:rsidR="00AF3F01" w:rsidRPr="00653A38" w:rsidRDefault="00AF3F01" w:rsidP="00AF3F01">
            <w:pPr>
              <w:pStyle w:val="TableParagraph"/>
              <w:rPr>
                <w:szCs w:val="18"/>
              </w:rPr>
            </w:pPr>
            <w:r w:rsidRPr="00653A38">
              <w:rPr>
                <w:rFonts w:cs="Calibri"/>
                <w:szCs w:val="18"/>
              </w:rPr>
              <w:t>Cash flows from financing activities:</w:t>
            </w:r>
          </w:p>
        </w:tc>
        <w:tc>
          <w:tcPr>
            <w:tcW w:w="927" w:type="dxa"/>
            <w:tcBorders>
              <w:bottom w:val="single" w:sz="4" w:space="0" w:color="auto"/>
            </w:tcBorders>
            <w:vAlign w:val="bottom"/>
          </w:tcPr>
          <w:p w14:paraId="37FE0BFC" w14:textId="37F49A90" w:rsidR="00AF3F01" w:rsidRPr="00875C94" w:rsidRDefault="00AF3F01" w:rsidP="00AF3F01">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p>
        </w:tc>
        <w:tc>
          <w:tcPr>
            <w:tcW w:w="1540" w:type="dxa"/>
            <w:tcBorders>
              <w:bottom w:val="single" w:sz="4" w:space="0" w:color="auto"/>
            </w:tcBorders>
            <w:vAlign w:val="bottom"/>
          </w:tcPr>
          <w:p w14:paraId="4FC47257" w14:textId="416A86C4" w:rsidR="00AF3F01" w:rsidRPr="00875C94" w:rsidRDefault="00AF3F01" w:rsidP="00AF3F0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AF3F01" w:rsidRPr="00725222" w14:paraId="0C069662"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0503248B" w14:textId="071156D5" w:rsidR="00AF3F01" w:rsidRPr="00653A38" w:rsidRDefault="00AF3F01" w:rsidP="00AF3F01">
            <w:pPr>
              <w:pStyle w:val="TableParagraph"/>
              <w:rPr>
                <w:b w:val="0"/>
                <w:bCs w:val="0"/>
                <w:szCs w:val="18"/>
              </w:rPr>
            </w:pPr>
            <w:r w:rsidRPr="00653A38">
              <w:rPr>
                <w:rFonts w:cs="Calibri"/>
                <w:b w:val="0"/>
                <w:bCs w:val="0"/>
                <w:szCs w:val="18"/>
              </w:rPr>
              <w:t>Movements of cash held in investment portfolio pending investment</w:t>
            </w:r>
          </w:p>
        </w:tc>
        <w:tc>
          <w:tcPr>
            <w:tcW w:w="927" w:type="dxa"/>
            <w:tcBorders>
              <w:top w:val="single" w:sz="4" w:space="0" w:color="auto"/>
              <w:bottom w:val="single" w:sz="4" w:space="0" w:color="auto"/>
            </w:tcBorders>
            <w:vAlign w:val="bottom"/>
          </w:tcPr>
          <w:p w14:paraId="0E138A05" w14:textId="190A63E9" w:rsidR="00AF3F01" w:rsidRPr="00875C94" w:rsidRDefault="00AF3F01" w:rsidP="00AF3F01">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w:t>
            </w:r>
          </w:p>
        </w:tc>
        <w:tc>
          <w:tcPr>
            <w:tcW w:w="1540" w:type="dxa"/>
            <w:tcBorders>
              <w:top w:val="single" w:sz="4" w:space="0" w:color="auto"/>
              <w:bottom w:val="single" w:sz="4" w:space="0" w:color="auto"/>
            </w:tcBorders>
            <w:vAlign w:val="bottom"/>
          </w:tcPr>
          <w:p w14:paraId="6EF01946" w14:textId="4A9725C0" w:rsidR="00AF3F01" w:rsidRPr="00875C94" w:rsidRDefault="00AF3F01" w:rsidP="00AF3F0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(353)</w:t>
            </w:r>
          </w:p>
        </w:tc>
      </w:tr>
      <w:tr w:rsidR="00AF3F01" w:rsidRPr="00725222" w14:paraId="44DEB901"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73C3DC21" w14:textId="3F3CD570" w:rsidR="00AF3F01" w:rsidRPr="00653A38" w:rsidRDefault="00AF3F01" w:rsidP="00AF3F01">
            <w:pPr>
              <w:pStyle w:val="TableParagraph"/>
              <w:rPr>
                <w:szCs w:val="18"/>
              </w:rPr>
            </w:pPr>
            <w:r w:rsidRPr="00653A38">
              <w:rPr>
                <w:rFonts w:cs="Calibri"/>
                <w:szCs w:val="18"/>
              </w:rPr>
              <w:t>Net cash provided by financing activities</w:t>
            </w:r>
          </w:p>
        </w:tc>
        <w:tc>
          <w:tcPr>
            <w:tcW w:w="927" w:type="dxa"/>
            <w:tcBorders>
              <w:top w:val="single" w:sz="4" w:space="0" w:color="auto"/>
            </w:tcBorders>
            <w:vAlign w:val="bottom"/>
          </w:tcPr>
          <w:p w14:paraId="3B90BCCB" w14:textId="2390214D" w:rsidR="00AF3F01" w:rsidRPr="00875C94" w:rsidRDefault="00AF3F01" w:rsidP="00AF3F01">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w:t>
            </w:r>
          </w:p>
        </w:tc>
        <w:tc>
          <w:tcPr>
            <w:tcW w:w="1540" w:type="dxa"/>
            <w:tcBorders>
              <w:top w:val="single" w:sz="4" w:space="0" w:color="auto"/>
            </w:tcBorders>
            <w:vAlign w:val="bottom"/>
          </w:tcPr>
          <w:p w14:paraId="4838C4B2" w14:textId="34E263C4" w:rsidR="00AF3F01" w:rsidRPr="00875C94" w:rsidRDefault="00AF3F01" w:rsidP="00AF3F0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(353)</w:t>
            </w:r>
          </w:p>
        </w:tc>
      </w:tr>
      <w:tr w:rsidR="00AF3F01" w:rsidRPr="00725222" w14:paraId="4809C687"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2F6C3B1F" w14:textId="794F19EB" w:rsidR="00AF3F01" w:rsidRPr="00653A38" w:rsidRDefault="00AF3F01" w:rsidP="00A637F5">
            <w:pPr>
              <w:pStyle w:val="TableParagraph"/>
              <w:rPr>
                <w:b w:val="0"/>
                <w:bCs w:val="0"/>
                <w:szCs w:val="18"/>
              </w:rPr>
            </w:pPr>
          </w:p>
        </w:tc>
        <w:tc>
          <w:tcPr>
            <w:tcW w:w="927" w:type="dxa"/>
            <w:tcBorders>
              <w:bottom w:val="single" w:sz="4" w:space="0" w:color="auto"/>
            </w:tcBorders>
            <w:vAlign w:val="bottom"/>
          </w:tcPr>
          <w:p w14:paraId="32986411" w14:textId="0834F455"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540" w:type="dxa"/>
            <w:tcBorders>
              <w:bottom w:val="single" w:sz="4" w:space="0" w:color="auto"/>
            </w:tcBorders>
            <w:vAlign w:val="bottom"/>
          </w:tcPr>
          <w:p w14:paraId="70820BC0" w14:textId="40E47058"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F3F01" w:rsidRPr="00725222" w14:paraId="7CCDD0F4"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3A11F399" w14:textId="6E7510BA" w:rsidR="00AF3F01" w:rsidRPr="00653A38" w:rsidRDefault="00AF3F01" w:rsidP="00A637F5">
            <w:pPr>
              <w:pStyle w:val="TableParagraph"/>
              <w:rPr>
                <w:szCs w:val="18"/>
              </w:rPr>
            </w:pPr>
            <w:r w:rsidRPr="00653A38">
              <w:rPr>
                <w:szCs w:val="18"/>
              </w:rPr>
              <w:t>Change in cash and cash equivalents in the year</w:t>
            </w:r>
          </w:p>
        </w:tc>
        <w:tc>
          <w:tcPr>
            <w:tcW w:w="927" w:type="dxa"/>
            <w:tcBorders>
              <w:top w:val="single" w:sz="4" w:space="0" w:color="auto"/>
              <w:bottom w:val="single" w:sz="4" w:space="0" w:color="auto"/>
            </w:tcBorders>
            <w:vAlign w:val="bottom"/>
          </w:tcPr>
          <w:p w14:paraId="6A9B489F" w14:textId="6C1A3643"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717,287</w:t>
            </w:r>
          </w:p>
        </w:tc>
        <w:tc>
          <w:tcPr>
            <w:tcW w:w="1540" w:type="dxa"/>
            <w:tcBorders>
              <w:top w:val="single" w:sz="4" w:space="0" w:color="auto"/>
              <w:bottom w:val="single" w:sz="4" w:space="0" w:color="auto"/>
            </w:tcBorders>
            <w:vAlign w:val="bottom"/>
          </w:tcPr>
          <w:p w14:paraId="00454752" w14:textId="364492AB" w:rsidR="00AF3F01" w:rsidRPr="00875C94" w:rsidRDefault="00AF3F01" w:rsidP="00A637F5">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(378,946)</w:t>
            </w:r>
          </w:p>
        </w:tc>
      </w:tr>
      <w:tr w:rsidR="00AF3F01" w:rsidRPr="00725222" w14:paraId="775847AB"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center"/>
          </w:tcPr>
          <w:p w14:paraId="7ED61B5F" w14:textId="5267596F" w:rsidR="00AF3F01" w:rsidRPr="00653A38" w:rsidRDefault="00AF3F01" w:rsidP="00A637F5">
            <w:pPr>
              <w:pStyle w:val="TableParagraph"/>
              <w:rPr>
                <w:b w:val="0"/>
                <w:bCs w:val="0"/>
                <w:szCs w:val="18"/>
              </w:rPr>
            </w:pPr>
          </w:p>
        </w:tc>
        <w:tc>
          <w:tcPr>
            <w:tcW w:w="927" w:type="dxa"/>
            <w:tcBorders>
              <w:top w:val="single" w:sz="4" w:space="0" w:color="auto"/>
            </w:tcBorders>
            <w:vAlign w:val="bottom"/>
          </w:tcPr>
          <w:p w14:paraId="4B6F83B1" w14:textId="77777777"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p>
        </w:tc>
        <w:tc>
          <w:tcPr>
            <w:tcW w:w="1540" w:type="dxa"/>
            <w:tcBorders>
              <w:top w:val="single" w:sz="4" w:space="0" w:color="auto"/>
            </w:tcBorders>
            <w:vAlign w:val="bottom"/>
          </w:tcPr>
          <w:p w14:paraId="799229BE" w14:textId="77777777" w:rsidR="00AF3F01" w:rsidRPr="00875C94" w:rsidRDefault="00AF3F01" w:rsidP="00A637F5">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F3F01" w:rsidRPr="00725222" w14:paraId="4D653F99" w14:textId="77777777" w:rsidTr="00AF3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0" w:type="dxa"/>
            <w:vAlign w:val="bottom"/>
          </w:tcPr>
          <w:p w14:paraId="10C26FD3" w14:textId="026EE603" w:rsidR="00AF3F01" w:rsidRPr="00653A38" w:rsidRDefault="00AF3F01" w:rsidP="00AF3F01">
            <w:pPr>
              <w:pStyle w:val="TableParagraph"/>
              <w:rPr>
                <w:b w:val="0"/>
                <w:bCs w:val="0"/>
                <w:szCs w:val="18"/>
              </w:rPr>
            </w:pPr>
            <w:r w:rsidRPr="00653A38">
              <w:rPr>
                <w:rFonts w:cs="Calibri"/>
                <w:b w:val="0"/>
                <w:bCs w:val="0"/>
                <w:szCs w:val="18"/>
              </w:rPr>
              <w:t>Cash and cash equivalents at the beginning of the year</w:t>
            </w:r>
          </w:p>
        </w:tc>
        <w:tc>
          <w:tcPr>
            <w:tcW w:w="927" w:type="dxa"/>
            <w:tcBorders>
              <w:bottom w:val="single" w:sz="4" w:space="0" w:color="auto"/>
            </w:tcBorders>
            <w:vAlign w:val="bottom"/>
          </w:tcPr>
          <w:p w14:paraId="1227C95B" w14:textId="7FBB7E43" w:rsidR="00AF3F01" w:rsidRPr="00875C94" w:rsidRDefault="00AF3F01" w:rsidP="00AF3F01">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875C94">
              <w:rPr>
                <w:rFonts w:cs="Calibri"/>
                <w:b/>
                <w:bCs/>
                <w:szCs w:val="18"/>
              </w:rPr>
              <w:t>663,390</w:t>
            </w:r>
          </w:p>
        </w:tc>
        <w:tc>
          <w:tcPr>
            <w:tcW w:w="1540" w:type="dxa"/>
            <w:tcBorders>
              <w:bottom w:val="single" w:sz="4" w:space="0" w:color="auto"/>
            </w:tcBorders>
            <w:vAlign w:val="bottom"/>
          </w:tcPr>
          <w:p w14:paraId="2C2CCA9A" w14:textId="56E7CFDE" w:rsidR="00AF3F01" w:rsidRPr="00875C94" w:rsidRDefault="00AF3F01" w:rsidP="00AF3F0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75C94">
              <w:rPr>
                <w:rFonts w:cs="Calibri"/>
                <w:szCs w:val="18"/>
              </w:rPr>
              <w:t>1,042,336</w:t>
            </w:r>
          </w:p>
        </w:tc>
      </w:tr>
      <w:tr w:rsidR="00AF3F01" w:rsidRPr="00725222" w14:paraId="3724D881" w14:textId="77777777" w:rsidTr="00AF3F01">
        <w:tc>
          <w:tcPr>
            <w:cnfStyle w:val="001000000000" w:firstRow="0" w:lastRow="0" w:firstColumn="1" w:lastColumn="0" w:oddVBand="0" w:evenVBand="0" w:oddHBand="0" w:evenHBand="0" w:firstRowFirstColumn="0" w:firstRowLastColumn="0" w:lastRowFirstColumn="0" w:lastRowLastColumn="0"/>
            <w:tcW w:w="6180" w:type="dxa"/>
            <w:vAlign w:val="bottom"/>
          </w:tcPr>
          <w:p w14:paraId="4045BFA0" w14:textId="737AC1E6" w:rsidR="00AF3F01" w:rsidRPr="00653A38" w:rsidRDefault="00AF3F01" w:rsidP="00AF3F01">
            <w:pPr>
              <w:pStyle w:val="TableParagraph"/>
              <w:rPr>
                <w:szCs w:val="18"/>
              </w:rPr>
            </w:pPr>
            <w:r w:rsidRPr="00653A38">
              <w:rPr>
                <w:rFonts w:cs="Calibri"/>
                <w:szCs w:val="18"/>
              </w:rPr>
              <w:t>Cash and cash equivalents at the end of the year</w:t>
            </w:r>
          </w:p>
        </w:tc>
        <w:tc>
          <w:tcPr>
            <w:tcW w:w="927" w:type="dxa"/>
            <w:tcBorders>
              <w:top w:val="single" w:sz="4" w:space="0" w:color="auto"/>
              <w:bottom w:val="single" w:sz="4" w:space="0" w:color="auto"/>
            </w:tcBorders>
            <w:vAlign w:val="bottom"/>
          </w:tcPr>
          <w:p w14:paraId="65C426BA" w14:textId="161E577C" w:rsidR="00AF3F01" w:rsidRPr="00875C94" w:rsidRDefault="00AF3F01" w:rsidP="00AF3F01">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875C94">
              <w:rPr>
                <w:rFonts w:cs="Calibri"/>
                <w:b/>
                <w:bCs/>
                <w:szCs w:val="18"/>
              </w:rPr>
              <w:t>1,380,677</w:t>
            </w:r>
          </w:p>
        </w:tc>
        <w:tc>
          <w:tcPr>
            <w:tcW w:w="1540" w:type="dxa"/>
            <w:tcBorders>
              <w:top w:val="single" w:sz="4" w:space="0" w:color="auto"/>
              <w:bottom w:val="single" w:sz="4" w:space="0" w:color="auto"/>
            </w:tcBorders>
            <w:vAlign w:val="bottom"/>
          </w:tcPr>
          <w:p w14:paraId="51760183" w14:textId="024E8B44" w:rsidR="00AF3F01" w:rsidRPr="00875C94" w:rsidRDefault="00AF3F01" w:rsidP="00AF3F0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75C94">
              <w:rPr>
                <w:rFonts w:cs="Calibri"/>
                <w:szCs w:val="18"/>
              </w:rPr>
              <w:t>663,390</w:t>
            </w:r>
          </w:p>
        </w:tc>
      </w:tr>
    </w:tbl>
    <w:p w14:paraId="58FF340F" w14:textId="707F3421" w:rsidR="00723DBE" w:rsidRDefault="00723DBE">
      <w:pPr>
        <w:widowControl/>
        <w:autoSpaceDE/>
        <w:autoSpaceDN/>
        <w:rPr>
          <w:rFonts w:cstheme="minorHAnsi"/>
          <w:b/>
          <w:bCs/>
          <w:iCs/>
          <w:color w:val="212A57"/>
          <w:szCs w:val="24"/>
        </w:rPr>
      </w:pPr>
      <w:r>
        <w:br w:type="page"/>
      </w:r>
    </w:p>
    <w:p w14:paraId="5AFFC255" w14:textId="762ED57F" w:rsidR="00546CE5" w:rsidRDefault="00723DBE" w:rsidP="003552FF">
      <w:pPr>
        <w:pStyle w:val="Heading2"/>
      </w:pPr>
      <w:bookmarkStart w:id="16" w:name="_Toc87614395"/>
      <w:r w:rsidRPr="00723DBE">
        <w:lastRenderedPageBreak/>
        <w:t>Notes to the financial statements</w:t>
      </w:r>
      <w:bookmarkEnd w:id="16"/>
    </w:p>
    <w:p w14:paraId="7BBA30FA" w14:textId="77777777" w:rsidR="00723DBE" w:rsidRPr="00C65369" w:rsidRDefault="00723DBE" w:rsidP="003552FF">
      <w:pPr>
        <w:pStyle w:val="Heading3"/>
      </w:pPr>
      <w:r>
        <w:t>For the ended 31 March 2021</w:t>
      </w:r>
    </w:p>
    <w:p w14:paraId="7DC14D2A" w14:textId="30F5D63D" w:rsidR="00723DBE" w:rsidRDefault="00723DBE" w:rsidP="00723DBE"/>
    <w:p w14:paraId="2A908DE9" w14:textId="144BEC79" w:rsidR="00723DBE" w:rsidRPr="008E3C94" w:rsidRDefault="00723DBE" w:rsidP="008E3C94">
      <w:pPr>
        <w:pStyle w:val="ListNumber"/>
      </w:pPr>
      <w:r w:rsidRPr="008E3C94">
        <w:t xml:space="preserve">Accounting policies </w:t>
      </w:r>
    </w:p>
    <w:p w14:paraId="06A0DF97" w14:textId="77777777" w:rsidR="00723DBE" w:rsidRDefault="00723DBE" w:rsidP="00723DBE"/>
    <w:p w14:paraId="64AE6351" w14:textId="6E7F0A91" w:rsidR="00723DBE" w:rsidRPr="003552FF" w:rsidRDefault="00723DBE" w:rsidP="00882D2F">
      <w:pPr>
        <w:pStyle w:val="ListParagraph"/>
        <w:numPr>
          <w:ilvl w:val="0"/>
          <w:numId w:val="7"/>
        </w:numPr>
        <w:rPr>
          <w:b/>
          <w:bCs/>
        </w:rPr>
      </w:pPr>
      <w:r w:rsidRPr="003552FF">
        <w:rPr>
          <w:b/>
          <w:bCs/>
        </w:rPr>
        <w:t xml:space="preserve">Statutory information </w:t>
      </w:r>
    </w:p>
    <w:p w14:paraId="2B700462" w14:textId="0547CB06" w:rsidR="007B279C" w:rsidRDefault="003552FF" w:rsidP="004B0817">
      <w:pPr>
        <w:pStyle w:val="BodyText"/>
        <w:ind w:left="360"/>
      </w:pPr>
      <w:r w:rsidRPr="003552FF">
        <w:t xml:space="preserve">Vision Foundation for London is a charitable company limited by guarantee and is incorporated in the United Kingdom. The registered office address is 12 Whitehorse Mews, 37 Westminster Bridge Road, London SE1 7QD. </w:t>
      </w:r>
    </w:p>
    <w:p w14:paraId="569E0E1E" w14:textId="6C8696C8" w:rsidR="00723DBE" w:rsidRPr="003552FF" w:rsidRDefault="00723DBE" w:rsidP="00882D2F">
      <w:pPr>
        <w:pStyle w:val="ListParagraph"/>
        <w:numPr>
          <w:ilvl w:val="0"/>
          <w:numId w:val="7"/>
        </w:numPr>
        <w:rPr>
          <w:b/>
          <w:bCs/>
        </w:rPr>
      </w:pPr>
      <w:r w:rsidRPr="003552FF">
        <w:rPr>
          <w:b/>
          <w:bCs/>
        </w:rPr>
        <w:t xml:space="preserve">Basis of preparation </w:t>
      </w:r>
    </w:p>
    <w:p w14:paraId="387C7915" w14:textId="77777777" w:rsidR="003552FF" w:rsidRPr="003552FF" w:rsidRDefault="003552FF" w:rsidP="003552FF">
      <w:pPr>
        <w:pStyle w:val="BodyText"/>
        <w:ind w:left="360"/>
      </w:pPr>
      <w:r w:rsidRPr="003552FF">
        <w:t xml:space="preserve">The financial statements have been prepared in accordance with Accounting and Reporting by Charities: Statement of Recommended Practice applicable to charities preparing their accounts in accordance with the Financial Reporting Standard applicable in the UK and Republic of Ireland (FRS 102)- (Charities SORP FRS 102), the Financial Reporting Standard applicable in the UK and Republic of Ireland (FRS 102) and the Companies Act 2006. </w:t>
      </w:r>
    </w:p>
    <w:p w14:paraId="1A3DFCA3" w14:textId="77777777" w:rsidR="003552FF" w:rsidRPr="003552FF" w:rsidRDefault="003552FF" w:rsidP="003552FF">
      <w:pPr>
        <w:pStyle w:val="BodyText"/>
        <w:ind w:left="360"/>
      </w:pPr>
      <w:r w:rsidRPr="003552FF">
        <w:t xml:space="preserve">Assets and liabilities are initially recognised at historical cost or transaction value unless otherwise stated in the relevant accounting policy or note. </w:t>
      </w:r>
    </w:p>
    <w:p w14:paraId="5711C32B" w14:textId="77777777" w:rsidR="003552FF" w:rsidRPr="003552FF" w:rsidRDefault="003552FF" w:rsidP="003552FF">
      <w:pPr>
        <w:pStyle w:val="BodyText"/>
        <w:ind w:left="360"/>
      </w:pPr>
      <w:r w:rsidRPr="003552FF">
        <w:t xml:space="preserve">These financial statements consolidate the results of the charitable company and its </w:t>
      </w:r>
      <w:proofErr w:type="gramStart"/>
      <w:r w:rsidRPr="003552FF">
        <w:t>wholly-owned</w:t>
      </w:r>
      <w:proofErr w:type="gramEnd"/>
      <w:r w:rsidRPr="003552FF">
        <w:t xml:space="preserve"> subsidiary G.L.F. Charitable Purposes Trading Company Limited on a line by line basis. Transactions and balances between the charitable company and its subsidiary have been eliminated from the consolidated financial statements. Balances between the two companies are disclosed in the notes of the charitable company’s balance sheet. A separate statement of financial activities, or income and expenditure account, for the charitable company itself is not presented because the charitable company has taken advantage of the exemptions afforded by section 408 of the Companies Act 2006. </w:t>
      </w:r>
    </w:p>
    <w:p w14:paraId="20EC5808" w14:textId="5F792D2C" w:rsidR="007B279C" w:rsidRPr="003552FF" w:rsidRDefault="003552FF" w:rsidP="003552FF">
      <w:pPr>
        <w:pStyle w:val="BodyText"/>
        <w:ind w:left="360"/>
      </w:pPr>
      <w:r w:rsidRPr="003552FF">
        <w:t>The Trustees do not consider that there are any sources of estimation uncertainty at the reporting date that have a significant risk of causing a material adjustment to the carrying amounts of assets and liabilities within the next reporting period.</w:t>
      </w:r>
    </w:p>
    <w:p w14:paraId="1A7CA614" w14:textId="2CE550F4" w:rsidR="00723DBE" w:rsidRPr="003552FF" w:rsidRDefault="00723DBE" w:rsidP="00882D2F">
      <w:pPr>
        <w:pStyle w:val="ListParagraph"/>
        <w:numPr>
          <w:ilvl w:val="0"/>
          <w:numId w:val="7"/>
        </w:numPr>
        <w:rPr>
          <w:b/>
          <w:bCs/>
        </w:rPr>
      </w:pPr>
      <w:r w:rsidRPr="003552FF">
        <w:rPr>
          <w:b/>
          <w:bCs/>
        </w:rPr>
        <w:t xml:space="preserve">Public benefit entity </w:t>
      </w:r>
    </w:p>
    <w:p w14:paraId="4B1DDCCB" w14:textId="61958614" w:rsidR="007B279C" w:rsidRDefault="00723DBE" w:rsidP="004B0817">
      <w:pPr>
        <w:ind w:left="360"/>
      </w:pPr>
      <w:r>
        <w:t xml:space="preserve">The charitable company meets the definition of a public benefit entity under FRS 102. </w:t>
      </w:r>
    </w:p>
    <w:p w14:paraId="404588E7" w14:textId="77777777" w:rsidR="004B0817" w:rsidRDefault="004B0817" w:rsidP="004B0817">
      <w:pPr>
        <w:ind w:left="360"/>
      </w:pPr>
    </w:p>
    <w:p w14:paraId="71E03D3E" w14:textId="690A469B" w:rsidR="00723DBE" w:rsidRPr="003552FF" w:rsidRDefault="00723DBE" w:rsidP="00882D2F">
      <w:pPr>
        <w:pStyle w:val="ListParagraph"/>
        <w:numPr>
          <w:ilvl w:val="0"/>
          <w:numId w:val="7"/>
        </w:numPr>
        <w:rPr>
          <w:b/>
          <w:bCs/>
        </w:rPr>
      </w:pPr>
      <w:r w:rsidRPr="003552FF">
        <w:rPr>
          <w:b/>
          <w:bCs/>
        </w:rPr>
        <w:t xml:space="preserve">Going concern </w:t>
      </w:r>
    </w:p>
    <w:p w14:paraId="1EE5B788" w14:textId="46A1E560" w:rsidR="007B279C" w:rsidRDefault="004B0817" w:rsidP="004B0817">
      <w:pPr>
        <w:pStyle w:val="BodyText"/>
        <w:ind w:left="360"/>
      </w:pPr>
      <w:r w:rsidRPr="004B0817">
        <w:t xml:space="preserve">The Trustees consider that there are no material uncertainties about the charitable company’s ability to continue as a going concern. Further consideration of going concern and the impact of Covid-19 can be found in the Trustees’ report. </w:t>
      </w:r>
    </w:p>
    <w:p w14:paraId="48F0B690" w14:textId="77777777" w:rsidR="007B279C" w:rsidRPr="003552FF" w:rsidRDefault="00723DBE" w:rsidP="00882D2F">
      <w:pPr>
        <w:pStyle w:val="ListParagraph"/>
        <w:numPr>
          <w:ilvl w:val="0"/>
          <w:numId w:val="7"/>
        </w:numPr>
        <w:rPr>
          <w:b/>
          <w:bCs/>
        </w:rPr>
      </w:pPr>
      <w:r w:rsidRPr="003552FF">
        <w:rPr>
          <w:b/>
          <w:bCs/>
        </w:rPr>
        <w:t xml:space="preserve">Income </w:t>
      </w:r>
    </w:p>
    <w:p w14:paraId="7636F78E" w14:textId="77777777" w:rsidR="004B0817" w:rsidRPr="004B0817" w:rsidRDefault="004B0817" w:rsidP="004B0817">
      <w:pPr>
        <w:pStyle w:val="BodyText"/>
        <w:ind w:left="360"/>
      </w:pPr>
      <w:r w:rsidRPr="004B0817">
        <w:t xml:space="preserve">Income is recognised when the charity has entitlement to the funds, any performance conditions attached to the income have been met, it is probable that the income will be received and that the amount can be measured reliably. </w:t>
      </w:r>
    </w:p>
    <w:p w14:paraId="35C40988" w14:textId="77777777" w:rsidR="004B0817" w:rsidRPr="004B0817" w:rsidRDefault="004B0817" w:rsidP="004B0817">
      <w:pPr>
        <w:pStyle w:val="BodyText"/>
        <w:ind w:left="360"/>
      </w:pPr>
      <w:r w:rsidRPr="004B0817">
        <w:t xml:space="preserve">For legacies, entitlement is taken as the earlier of the date on which either: the charity is aware that probate has been granted, the estate has been finalised and notification has </w:t>
      </w:r>
      <w:r w:rsidRPr="004B0817">
        <w:lastRenderedPageBreak/>
        <w:t xml:space="preserve">been made by the executor(s) to the charity that a distribution will be made, or when a distribution is received from the estate. Receipt of a legacy, in whole or in part, is only considered probable when the amount can be measured reliably, the charity has been notified of the executor’s intention to make a distribution, executors have established that there are sufficient assets in the estate to pay the legacy, and performance obligations have been met. Where legacies have been notified to the charity, or the charity is aware of the granting of probate, and the criteria for income recognition have not been met, then the legacy is a treated as a contingent asset and disclosed if material. </w:t>
      </w:r>
    </w:p>
    <w:p w14:paraId="3CAE857E" w14:textId="77777777" w:rsidR="004B0817" w:rsidRPr="004B0817" w:rsidRDefault="004B0817" w:rsidP="004B0817">
      <w:pPr>
        <w:pStyle w:val="BodyText"/>
        <w:ind w:left="360"/>
      </w:pPr>
      <w:r w:rsidRPr="004B0817">
        <w:t xml:space="preserve">Income received in advance of the provision of a specified service is deferred until the criteria for income recognition are met. </w:t>
      </w:r>
    </w:p>
    <w:p w14:paraId="26DF3EC8" w14:textId="5D784935" w:rsidR="004B0817" w:rsidRPr="004B0817" w:rsidRDefault="004B0817" w:rsidP="004B0817">
      <w:pPr>
        <w:pStyle w:val="BodyText"/>
        <w:ind w:left="360"/>
      </w:pPr>
      <w:r w:rsidRPr="004B0817">
        <w:t xml:space="preserve">Claims made through the UK Government’s Coronavirus Job Retention Support Scheme are recognised as income in the period which the associated staff were furloughed. This income </w:t>
      </w:r>
      <w:proofErr w:type="gramStart"/>
      <w:r w:rsidRPr="004B0817">
        <w:t>is considered to be</w:t>
      </w:r>
      <w:proofErr w:type="gramEnd"/>
      <w:r w:rsidRPr="004B0817">
        <w:t xml:space="preserve"> unrestricted. Small business retail grants have been recognised as unrestricted income in the periods to which they relate.</w:t>
      </w:r>
    </w:p>
    <w:p w14:paraId="4967C81E" w14:textId="77777777" w:rsidR="007B279C" w:rsidRPr="004B0817" w:rsidRDefault="00723DBE" w:rsidP="00882D2F">
      <w:pPr>
        <w:pStyle w:val="ListParagraph"/>
        <w:numPr>
          <w:ilvl w:val="0"/>
          <w:numId w:val="7"/>
        </w:numPr>
        <w:rPr>
          <w:b/>
          <w:bCs/>
        </w:rPr>
      </w:pPr>
      <w:r w:rsidRPr="004B0817">
        <w:rPr>
          <w:b/>
          <w:bCs/>
        </w:rPr>
        <w:t xml:space="preserve">Donations of services </w:t>
      </w:r>
    </w:p>
    <w:p w14:paraId="73AAF038" w14:textId="7FCE8DA6" w:rsidR="004B0817" w:rsidRPr="004B0817" w:rsidRDefault="004B0817" w:rsidP="004B0817">
      <w:pPr>
        <w:pStyle w:val="BodyText"/>
        <w:ind w:left="360"/>
      </w:pPr>
      <w:r w:rsidRPr="004B0817">
        <w:t xml:space="preserve">Donated professional services are recognised as income when the charity has received the service, any conditions associated with the donation have been met, the receipt of economic benefit from the use by the charity of the item is probable and that economic benefit can be measured reliably. On receipt, professional services are recognised </w:t>
      </w:r>
      <w:proofErr w:type="gramStart"/>
      <w:r w:rsidRPr="004B0817">
        <w:t>on the basis of</w:t>
      </w:r>
      <w:proofErr w:type="gramEnd"/>
      <w:r w:rsidRPr="004B0817">
        <w:t xml:space="preserve"> the value of the gift to the charity which is the amount the charity would have been willing to pay to obtain services or facilities of equivalent economic benefit on the open market; a corresponding amount is then recognised in expenditure in the period of receipt.</w:t>
      </w:r>
    </w:p>
    <w:p w14:paraId="58BAFB52" w14:textId="226E35C4" w:rsidR="00723DBE" w:rsidRPr="004B0817" w:rsidRDefault="00723DBE" w:rsidP="00882D2F">
      <w:pPr>
        <w:pStyle w:val="ListParagraph"/>
        <w:numPr>
          <w:ilvl w:val="0"/>
          <w:numId w:val="7"/>
        </w:numPr>
        <w:rPr>
          <w:b/>
          <w:bCs/>
        </w:rPr>
      </w:pPr>
      <w:r w:rsidRPr="004B0817">
        <w:rPr>
          <w:b/>
          <w:bCs/>
        </w:rPr>
        <w:t xml:space="preserve">Interest receivable </w:t>
      </w:r>
    </w:p>
    <w:p w14:paraId="7783F970" w14:textId="1D053D25" w:rsidR="004B0817" w:rsidRDefault="00723DBE" w:rsidP="004B0817">
      <w:pPr>
        <w:pStyle w:val="BodyText"/>
        <w:ind w:left="360"/>
      </w:pPr>
      <w:r>
        <w:t xml:space="preserve">Interest on funds held on deposit is included when receivable and the amount can be measured reliably by the charity; this is normally upon notification of the interest paid or payable by the bank. </w:t>
      </w:r>
    </w:p>
    <w:p w14:paraId="2D51113A" w14:textId="691C4085" w:rsidR="00723DBE" w:rsidRPr="004B0817" w:rsidRDefault="00723DBE" w:rsidP="00882D2F">
      <w:pPr>
        <w:pStyle w:val="ListParagraph"/>
        <w:numPr>
          <w:ilvl w:val="0"/>
          <w:numId w:val="7"/>
        </w:numPr>
        <w:rPr>
          <w:b/>
          <w:bCs/>
        </w:rPr>
      </w:pPr>
      <w:r w:rsidRPr="004B0817">
        <w:rPr>
          <w:b/>
          <w:bCs/>
        </w:rPr>
        <w:t xml:space="preserve">Fund accounting </w:t>
      </w:r>
    </w:p>
    <w:p w14:paraId="14AFD49E" w14:textId="77777777" w:rsidR="004B0817" w:rsidRDefault="00723DBE" w:rsidP="004B0817">
      <w:pPr>
        <w:pStyle w:val="BodyText"/>
        <w:ind w:left="360"/>
      </w:pPr>
      <w:r w:rsidRPr="004B0817">
        <w:t xml:space="preserve">Unrestricted funds are donations and other incoming resources received or generated for the charitable purposes. </w:t>
      </w:r>
    </w:p>
    <w:p w14:paraId="6C30FECA" w14:textId="0FF9160F" w:rsidR="00CD2263" w:rsidRDefault="00723DBE" w:rsidP="00CD2263">
      <w:pPr>
        <w:pStyle w:val="BodyText"/>
        <w:ind w:left="360"/>
      </w:pPr>
      <w:r>
        <w:t xml:space="preserve">Designated funds are unrestricted funds earmarked by the </w:t>
      </w:r>
      <w:r w:rsidR="00D82997">
        <w:t>Trustee</w:t>
      </w:r>
      <w:r>
        <w:t xml:space="preserve">s for </w:t>
      </w:r>
      <w:proofErr w:type="gramStart"/>
      <w:r>
        <w:t>particular purposes</w:t>
      </w:r>
      <w:proofErr w:type="gramEnd"/>
      <w:r>
        <w:t xml:space="preserve">. </w:t>
      </w:r>
    </w:p>
    <w:p w14:paraId="61D5D9A5" w14:textId="3FC5764B" w:rsidR="00723DBE" w:rsidRPr="004B0817" w:rsidRDefault="00723DBE" w:rsidP="00882D2F">
      <w:pPr>
        <w:pStyle w:val="ListParagraph"/>
        <w:numPr>
          <w:ilvl w:val="0"/>
          <w:numId w:val="7"/>
        </w:numPr>
        <w:rPr>
          <w:b/>
          <w:bCs/>
        </w:rPr>
      </w:pPr>
      <w:r w:rsidRPr="004B0817">
        <w:rPr>
          <w:b/>
          <w:bCs/>
        </w:rPr>
        <w:t xml:space="preserve">Expenditure and irrecoverable VAT </w:t>
      </w:r>
    </w:p>
    <w:p w14:paraId="7D0760B4" w14:textId="77777777" w:rsidR="004B0817" w:rsidRPr="004B0817" w:rsidRDefault="004B0817" w:rsidP="004B0817">
      <w:pPr>
        <w:pStyle w:val="BodyText"/>
        <w:ind w:left="360"/>
      </w:pPr>
      <w:r w:rsidRPr="004B0817">
        <w:t xml:space="preserve">Expenditure is recognised once there is a legal or constructive obligation to make a payment to a third party, it is probable that settlement will be </w:t>
      </w:r>
      <w:proofErr w:type="gramStart"/>
      <w:r w:rsidRPr="004B0817">
        <w:t>required</w:t>
      </w:r>
      <w:proofErr w:type="gramEnd"/>
      <w:r w:rsidRPr="004B0817">
        <w:t xml:space="preserve"> and the amount of the obligation can be measured reliably. Expenditure is classified under the following activity headings: </w:t>
      </w:r>
    </w:p>
    <w:p w14:paraId="3474CDB5" w14:textId="77777777" w:rsidR="004B0817" w:rsidRDefault="004B0817" w:rsidP="004B0817">
      <w:pPr>
        <w:pStyle w:val="List"/>
      </w:pPr>
      <w:r w:rsidRPr="004B0817">
        <w:t xml:space="preserve">Costs of raising funds relate to the costs incurred by the charitable company in inducing third parties to make voluntary contributions to it, as well as the cost of any activities with a fundraising purpose. </w:t>
      </w:r>
    </w:p>
    <w:p w14:paraId="4BFC1503" w14:textId="51F5EEB1" w:rsidR="004B0817" w:rsidRDefault="004B0817" w:rsidP="004B0817">
      <w:pPr>
        <w:pStyle w:val="List"/>
      </w:pPr>
      <w:r w:rsidRPr="004B0817">
        <w:t xml:space="preserve">Expenditure on charitable activities includes the costs undertaken to further the purposes of the charity and their associated support costs. </w:t>
      </w:r>
    </w:p>
    <w:p w14:paraId="62D2E31A" w14:textId="77777777" w:rsidR="004B0817" w:rsidRDefault="004B0817" w:rsidP="004B0817">
      <w:pPr>
        <w:pStyle w:val="List"/>
        <w:numPr>
          <w:ilvl w:val="0"/>
          <w:numId w:val="0"/>
        </w:numPr>
        <w:ind w:left="359"/>
      </w:pPr>
    </w:p>
    <w:p w14:paraId="673F4096" w14:textId="1567D8FD" w:rsidR="004B0817" w:rsidRPr="004B0817" w:rsidRDefault="004B0817" w:rsidP="004B0817">
      <w:pPr>
        <w:pStyle w:val="BodyText"/>
        <w:ind w:left="360"/>
      </w:pPr>
      <w:r w:rsidRPr="004B0817">
        <w:t xml:space="preserve">Irrecoverable VAT is charged as a cost against the activity for which the expenditure was </w:t>
      </w:r>
      <w:r w:rsidRPr="004B0817">
        <w:lastRenderedPageBreak/>
        <w:t xml:space="preserve">incurred. </w:t>
      </w:r>
    </w:p>
    <w:p w14:paraId="4853572C" w14:textId="05FA0C89" w:rsidR="004B0817" w:rsidRDefault="004B0817" w:rsidP="00CD2263">
      <w:pPr>
        <w:pStyle w:val="BodyText"/>
        <w:ind w:left="360"/>
      </w:pPr>
      <w:r w:rsidRPr="004B0817">
        <w:t>Restricted funds are to be used for specific purposes as laid down by the donor.  Expenditure which meets these criteria is charged to the fund.</w:t>
      </w:r>
    </w:p>
    <w:p w14:paraId="4F652D73" w14:textId="2446B9D1" w:rsidR="008E3C94" w:rsidRPr="00CD2263" w:rsidRDefault="00723DBE" w:rsidP="00882D2F">
      <w:pPr>
        <w:pStyle w:val="BodyText"/>
        <w:numPr>
          <w:ilvl w:val="0"/>
          <w:numId w:val="7"/>
        </w:numPr>
        <w:spacing w:after="0"/>
        <w:ind w:left="357" w:hanging="357"/>
        <w:rPr>
          <w:b/>
          <w:bCs/>
        </w:rPr>
      </w:pPr>
      <w:r w:rsidRPr="00CD2263">
        <w:rPr>
          <w:b/>
          <w:bCs/>
        </w:rPr>
        <w:t xml:space="preserve">Grants payable </w:t>
      </w:r>
    </w:p>
    <w:p w14:paraId="216F6FC6" w14:textId="77777777" w:rsidR="00CD2263" w:rsidRPr="00CD2263" w:rsidRDefault="00CD2263" w:rsidP="00CD2263">
      <w:pPr>
        <w:pStyle w:val="BodyText"/>
        <w:ind w:left="360"/>
      </w:pPr>
      <w:r w:rsidRPr="00CD2263">
        <w:t xml:space="preserve">Grants </w:t>
      </w:r>
      <w:proofErr w:type="gramStart"/>
      <w:r w:rsidRPr="00CD2263">
        <w:t>payable</w:t>
      </w:r>
      <w:proofErr w:type="gramEnd"/>
      <w:r w:rsidRPr="00CD2263">
        <w:t xml:space="preserve"> are made to third parties in furtherance of the charity’s objects. Single or multi-year grants are accounted for when either the recipient has a reasonable expectation that they will receive a grant and the Trustees have agreed to pay the grant without condition, or the recipient has a reasonable expectation that they will receive a grant and that any condition attaching to the grant is outside of the control of the charity. </w:t>
      </w:r>
    </w:p>
    <w:p w14:paraId="2D15EED8" w14:textId="3D78AFA8" w:rsidR="00CD2263" w:rsidRPr="00CD2263" w:rsidRDefault="00CD2263" w:rsidP="00CD2263">
      <w:pPr>
        <w:pStyle w:val="BodyText"/>
        <w:ind w:left="360"/>
      </w:pPr>
      <w:r w:rsidRPr="00CD2263">
        <w:t>Provisions for grants are made when the intention to make a grant has been communicated to the recipient but there is uncertainty about either the timing of the grant or the amount of grant payable.</w:t>
      </w:r>
    </w:p>
    <w:p w14:paraId="224EBB41" w14:textId="079B2633" w:rsidR="00723DBE" w:rsidRPr="00CD2263" w:rsidRDefault="00723DBE" w:rsidP="00882D2F">
      <w:pPr>
        <w:pStyle w:val="ListParagraph"/>
        <w:numPr>
          <w:ilvl w:val="0"/>
          <w:numId w:val="7"/>
        </w:numPr>
        <w:rPr>
          <w:b/>
          <w:bCs/>
        </w:rPr>
      </w:pPr>
      <w:r w:rsidRPr="00CD2263">
        <w:rPr>
          <w:b/>
          <w:bCs/>
        </w:rPr>
        <w:t xml:space="preserve">Allocation of support and governance costs </w:t>
      </w:r>
    </w:p>
    <w:p w14:paraId="41726FD3" w14:textId="3349ABCE" w:rsidR="00723DBE" w:rsidRDefault="00723DBE" w:rsidP="008E3C94">
      <w:pPr>
        <w:ind w:left="360"/>
      </w:pPr>
      <w:r>
        <w:t xml:space="preserve">Resources expended are allocated to the </w:t>
      </w:r>
      <w:proofErr w:type="gramStart"/>
      <w:r>
        <w:t>particular activity</w:t>
      </w:r>
      <w:proofErr w:type="gramEnd"/>
      <w:r>
        <w:t xml:space="preserve"> where the cost relates directly to that activity. The cost of overall direction and administration of activities, comprising the salary and overhead costs of the central function, is apportioned based on the weighting of expenditure incurred in direct activities. </w:t>
      </w:r>
    </w:p>
    <w:p w14:paraId="2C50DAE6" w14:textId="77777777" w:rsidR="008E3C94" w:rsidRDefault="008E3C94" w:rsidP="008E3C94">
      <w:pPr>
        <w:ind w:left="360"/>
      </w:pPr>
    </w:p>
    <w:p w14:paraId="5E38C8DE" w14:textId="77777777" w:rsidR="00723DBE" w:rsidRDefault="00723DBE" w:rsidP="008E3C94">
      <w:pPr>
        <w:ind w:left="360"/>
      </w:pPr>
      <w:r>
        <w:t xml:space="preserve">Where information about the aims, objectives and projects of the charity is provided to potential beneficiaries, the costs associated with this publicity are allocated to charitable expenditure. </w:t>
      </w:r>
    </w:p>
    <w:p w14:paraId="39AEADF7" w14:textId="77777777" w:rsidR="00723DBE" w:rsidRDefault="00723DBE" w:rsidP="00723DBE"/>
    <w:p w14:paraId="7D54B0B9" w14:textId="49A912B3" w:rsidR="00723DBE" w:rsidRPr="00CD2263" w:rsidRDefault="00723DBE" w:rsidP="00882D2F">
      <w:pPr>
        <w:pStyle w:val="ListParagraph"/>
        <w:numPr>
          <w:ilvl w:val="0"/>
          <w:numId w:val="7"/>
        </w:numPr>
        <w:rPr>
          <w:b/>
          <w:bCs/>
        </w:rPr>
      </w:pPr>
      <w:r w:rsidRPr="00CD2263">
        <w:rPr>
          <w:b/>
          <w:bCs/>
        </w:rPr>
        <w:t xml:space="preserve">Operating leases </w:t>
      </w:r>
    </w:p>
    <w:p w14:paraId="350C9ACD" w14:textId="0F0F9AE8" w:rsidR="00723DBE" w:rsidRDefault="00723DBE" w:rsidP="008E3C94">
      <w:pPr>
        <w:ind w:left="360"/>
      </w:pPr>
      <w:r>
        <w:t xml:space="preserve">Rental charges are charged on a </w:t>
      </w:r>
      <w:proofErr w:type="gramStart"/>
      <w:r>
        <w:t>straight line</w:t>
      </w:r>
      <w:proofErr w:type="gramEnd"/>
      <w:r>
        <w:t xml:space="preserve"> basis over the term of the lease. </w:t>
      </w:r>
    </w:p>
    <w:p w14:paraId="64B6804F" w14:textId="77777777" w:rsidR="008E3C94" w:rsidRDefault="008E3C94" w:rsidP="008E3C94">
      <w:pPr>
        <w:ind w:left="360"/>
      </w:pPr>
    </w:p>
    <w:p w14:paraId="3F9B6C09" w14:textId="73FD296B" w:rsidR="00723DBE" w:rsidRPr="00CD2263" w:rsidRDefault="00723DBE" w:rsidP="00882D2F">
      <w:pPr>
        <w:pStyle w:val="ListParagraph"/>
        <w:numPr>
          <w:ilvl w:val="0"/>
          <w:numId w:val="7"/>
        </w:numPr>
        <w:rPr>
          <w:b/>
          <w:bCs/>
        </w:rPr>
      </w:pPr>
      <w:r w:rsidRPr="00CD2263">
        <w:rPr>
          <w:b/>
          <w:bCs/>
        </w:rPr>
        <w:t xml:space="preserve">Tangible fixed assets </w:t>
      </w:r>
    </w:p>
    <w:p w14:paraId="488C6CA3" w14:textId="03F5B60B" w:rsidR="00723DBE" w:rsidRDefault="00723DBE" w:rsidP="008E3C94">
      <w:pPr>
        <w:ind w:left="360"/>
      </w:pPr>
      <w:r>
        <w:t xml:space="preserve">Fixed assets with a purchase price exceeding £1,000 are capitalised and depreciated over their useful economic life. Assets are reviewed for impairment if circumstances indicate their carrying value may exceed their net realisable value and value in use. </w:t>
      </w:r>
    </w:p>
    <w:p w14:paraId="045579CC" w14:textId="77777777" w:rsidR="008E3C94" w:rsidRDefault="008E3C94" w:rsidP="008E3C94">
      <w:pPr>
        <w:ind w:left="360"/>
      </w:pPr>
    </w:p>
    <w:p w14:paraId="4E307B1C" w14:textId="0798CF35" w:rsidR="00723DBE" w:rsidRDefault="00723DBE" w:rsidP="008E3C94">
      <w:pPr>
        <w:ind w:left="360"/>
      </w:pPr>
      <w:r>
        <w:t xml:space="preserve">Depreciation is provided at rates calculated to write down the cost of each asset to its estimated residual value over its expected useful life. The depreciation rates in use are as follows: </w:t>
      </w:r>
    </w:p>
    <w:p w14:paraId="0C51E05A" w14:textId="77777777" w:rsidR="008E3C94" w:rsidRDefault="008E3C94" w:rsidP="008E3C94">
      <w:pPr>
        <w:ind w:left="360"/>
      </w:pPr>
    </w:p>
    <w:p w14:paraId="34EFCF78" w14:textId="0E48D0B5" w:rsidR="00723DBE" w:rsidRPr="008E3C94" w:rsidRDefault="00723DBE" w:rsidP="00882D2F">
      <w:pPr>
        <w:pStyle w:val="ListParagraph"/>
        <w:numPr>
          <w:ilvl w:val="0"/>
          <w:numId w:val="8"/>
        </w:numPr>
      </w:pPr>
      <w:r w:rsidRPr="008E3C94">
        <w:t xml:space="preserve">Freehold property over 50 years </w:t>
      </w:r>
    </w:p>
    <w:p w14:paraId="6EF6F074" w14:textId="764D41A4" w:rsidR="00723DBE" w:rsidRPr="008E3C94" w:rsidRDefault="00723DBE" w:rsidP="00882D2F">
      <w:pPr>
        <w:pStyle w:val="ListParagraph"/>
        <w:numPr>
          <w:ilvl w:val="0"/>
          <w:numId w:val="8"/>
        </w:numPr>
      </w:pPr>
      <w:r w:rsidRPr="008E3C94">
        <w:t xml:space="preserve">Motor vehicles over 5 years </w:t>
      </w:r>
    </w:p>
    <w:p w14:paraId="12738562" w14:textId="77310FDA" w:rsidR="00723DBE" w:rsidRPr="008E3C94" w:rsidRDefault="00723DBE" w:rsidP="00882D2F">
      <w:pPr>
        <w:pStyle w:val="ListParagraph"/>
        <w:numPr>
          <w:ilvl w:val="0"/>
          <w:numId w:val="8"/>
        </w:numPr>
      </w:pPr>
      <w:r w:rsidRPr="008E3C94">
        <w:t xml:space="preserve">Leasehold Improvements over 4 to 10 years </w:t>
      </w:r>
    </w:p>
    <w:p w14:paraId="74D0C229" w14:textId="303A030D" w:rsidR="00723DBE" w:rsidRPr="008E3C94" w:rsidRDefault="00723DBE" w:rsidP="00882D2F">
      <w:pPr>
        <w:pStyle w:val="ListParagraph"/>
        <w:numPr>
          <w:ilvl w:val="0"/>
          <w:numId w:val="8"/>
        </w:numPr>
      </w:pPr>
      <w:r w:rsidRPr="008E3C94">
        <w:t xml:space="preserve">Furniture and office equipment over 3 to 10 years </w:t>
      </w:r>
    </w:p>
    <w:p w14:paraId="07B59CA1" w14:textId="0507B8B3" w:rsidR="00723DBE" w:rsidRPr="008E3C94" w:rsidRDefault="00723DBE" w:rsidP="00882D2F">
      <w:pPr>
        <w:pStyle w:val="ListParagraph"/>
        <w:numPr>
          <w:ilvl w:val="0"/>
          <w:numId w:val="8"/>
        </w:numPr>
      </w:pPr>
      <w:r w:rsidRPr="008E3C94">
        <w:t xml:space="preserve">Database over 4 years </w:t>
      </w:r>
    </w:p>
    <w:p w14:paraId="5D46782C" w14:textId="14454B53" w:rsidR="00723DBE" w:rsidRPr="008E3C94" w:rsidRDefault="00723DBE" w:rsidP="00882D2F">
      <w:pPr>
        <w:pStyle w:val="ListParagraph"/>
        <w:numPr>
          <w:ilvl w:val="0"/>
          <w:numId w:val="8"/>
        </w:numPr>
      </w:pPr>
      <w:r w:rsidRPr="008E3C94">
        <w:t xml:space="preserve">Models and collection materials over 5 years </w:t>
      </w:r>
    </w:p>
    <w:p w14:paraId="737D05D9" w14:textId="77777777" w:rsidR="00723DBE" w:rsidRDefault="00723DBE" w:rsidP="00723DBE"/>
    <w:p w14:paraId="1E565C2E" w14:textId="12B99193" w:rsidR="00723DBE" w:rsidRPr="00CD2263" w:rsidRDefault="00723DBE" w:rsidP="00882D2F">
      <w:pPr>
        <w:pStyle w:val="ListParagraph"/>
        <w:numPr>
          <w:ilvl w:val="0"/>
          <w:numId w:val="7"/>
        </w:numPr>
        <w:rPr>
          <w:b/>
          <w:bCs/>
        </w:rPr>
      </w:pPr>
      <w:r w:rsidRPr="00CD2263">
        <w:rPr>
          <w:b/>
          <w:bCs/>
        </w:rPr>
        <w:t xml:space="preserve">Investments in subsidiaries </w:t>
      </w:r>
    </w:p>
    <w:p w14:paraId="721B1E69" w14:textId="0A129427" w:rsidR="00723DBE" w:rsidRDefault="00723DBE" w:rsidP="008E3C94">
      <w:pPr>
        <w:ind w:left="360"/>
      </w:pPr>
      <w:r>
        <w:t xml:space="preserve">Investments in subsidiaries are held at cost. </w:t>
      </w:r>
    </w:p>
    <w:p w14:paraId="05CA59D6" w14:textId="77777777" w:rsidR="008E3C94" w:rsidRDefault="008E3C94" w:rsidP="008E3C94">
      <w:pPr>
        <w:ind w:left="360"/>
      </w:pPr>
    </w:p>
    <w:p w14:paraId="156A89D9" w14:textId="22E34D67" w:rsidR="00723DBE" w:rsidRPr="00CD2263" w:rsidRDefault="00723DBE" w:rsidP="00882D2F">
      <w:pPr>
        <w:pStyle w:val="ListParagraph"/>
        <w:numPr>
          <w:ilvl w:val="0"/>
          <w:numId w:val="7"/>
        </w:numPr>
        <w:rPr>
          <w:b/>
          <w:bCs/>
        </w:rPr>
      </w:pPr>
      <w:r w:rsidRPr="00CD2263">
        <w:rPr>
          <w:b/>
          <w:bCs/>
        </w:rPr>
        <w:t xml:space="preserve">Other investments  </w:t>
      </w:r>
    </w:p>
    <w:p w14:paraId="33370C4B" w14:textId="5A8B88FF" w:rsidR="00723DBE" w:rsidRDefault="00723DBE" w:rsidP="008E3C94">
      <w:pPr>
        <w:ind w:left="360"/>
      </w:pPr>
      <w:r>
        <w:t xml:space="preserve">Investments are a form of basic financial instrument and are initially recognised at their </w:t>
      </w:r>
      <w:r>
        <w:lastRenderedPageBreak/>
        <w:t xml:space="preserve">transaction value and subsequently measured at their fair value as at the balance sheet date using the closing quoted bid value price. Any change in fair value will be recognised in the statement of financial activities. Investment gains and losses, whether realised or unrealised, are combined and shown in the heading “Net gains/(losses) on investments” in the statement of financial activities. The charity does not acquire put options, </w:t>
      </w:r>
      <w:proofErr w:type="gramStart"/>
      <w:r>
        <w:t>derivatives</w:t>
      </w:r>
      <w:proofErr w:type="gramEnd"/>
      <w:r>
        <w:t xml:space="preserve"> or other complex financial instruments. </w:t>
      </w:r>
    </w:p>
    <w:p w14:paraId="36137362" w14:textId="77777777" w:rsidR="008E3C94" w:rsidRDefault="008E3C94" w:rsidP="008E3C94">
      <w:pPr>
        <w:ind w:left="360"/>
      </w:pPr>
    </w:p>
    <w:p w14:paraId="1F680810" w14:textId="77777777" w:rsidR="008E3C94" w:rsidRPr="00CD2263" w:rsidRDefault="00723DBE" w:rsidP="00882D2F">
      <w:pPr>
        <w:pStyle w:val="ListParagraph"/>
        <w:numPr>
          <w:ilvl w:val="0"/>
          <w:numId w:val="7"/>
        </w:numPr>
        <w:rPr>
          <w:b/>
          <w:bCs/>
        </w:rPr>
      </w:pPr>
      <w:r w:rsidRPr="00CD2263">
        <w:rPr>
          <w:b/>
          <w:bCs/>
        </w:rPr>
        <w:t xml:space="preserve">Debtors </w:t>
      </w:r>
    </w:p>
    <w:p w14:paraId="54F87D08" w14:textId="34C51C51" w:rsidR="00723DBE" w:rsidRDefault="00723DBE" w:rsidP="008E3C94">
      <w:pPr>
        <w:ind w:left="360"/>
      </w:pPr>
      <w:r>
        <w:t xml:space="preserve">Trade and other debtors are recognised at the settlement amount due after any trade discount offered. Prepayments are valued at the amount prepaid net of any trade discounts due. </w:t>
      </w:r>
    </w:p>
    <w:p w14:paraId="08DC16FC" w14:textId="77777777" w:rsidR="008E3C94" w:rsidRPr="00CD2263" w:rsidRDefault="008E3C94" w:rsidP="008E3C94">
      <w:pPr>
        <w:ind w:left="360"/>
        <w:rPr>
          <w:b/>
          <w:bCs/>
        </w:rPr>
      </w:pPr>
    </w:p>
    <w:p w14:paraId="5BE18EB2" w14:textId="1106B888" w:rsidR="00723DBE" w:rsidRPr="00CD2263" w:rsidRDefault="00723DBE" w:rsidP="00882D2F">
      <w:pPr>
        <w:pStyle w:val="ListParagraph"/>
        <w:numPr>
          <w:ilvl w:val="0"/>
          <w:numId w:val="7"/>
        </w:numPr>
        <w:rPr>
          <w:b/>
          <w:bCs/>
        </w:rPr>
      </w:pPr>
      <w:r w:rsidRPr="00CD2263">
        <w:rPr>
          <w:b/>
          <w:bCs/>
        </w:rPr>
        <w:t xml:space="preserve">Cash at bank and in hand </w:t>
      </w:r>
    </w:p>
    <w:p w14:paraId="772C26FD" w14:textId="369321C9" w:rsidR="00723DBE" w:rsidRDefault="00723DBE" w:rsidP="008E3C94">
      <w:pPr>
        <w:ind w:left="360"/>
      </w:pPr>
      <w:r>
        <w:t xml:space="preserve">Cash at bank and cash in hand includes cash and short term highly liquid investments with a maturity of six months or less from the date of acquisition or opening of the deposit or similar account.   </w:t>
      </w:r>
    </w:p>
    <w:p w14:paraId="4583E4DA" w14:textId="77777777" w:rsidR="008E3C94" w:rsidRDefault="008E3C94" w:rsidP="008E3C94">
      <w:pPr>
        <w:ind w:left="360"/>
      </w:pPr>
    </w:p>
    <w:p w14:paraId="73E0C06D" w14:textId="517DCB05" w:rsidR="00723DBE" w:rsidRPr="00CD2263" w:rsidRDefault="00723DBE" w:rsidP="00882D2F">
      <w:pPr>
        <w:pStyle w:val="ListParagraph"/>
        <w:numPr>
          <w:ilvl w:val="0"/>
          <w:numId w:val="7"/>
        </w:numPr>
        <w:rPr>
          <w:b/>
          <w:bCs/>
        </w:rPr>
      </w:pPr>
      <w:r w:rsidRPr="00CD2263">
        <w:rPr>
          <w:b/>
          <w:bCs/>
        </w:rPr>
        <w:t xml:space="preserve">Creditors and provisions </w:t>
      </w:r>
    </w:p>
    <w:p w14:paraId="10431401" w14:textId="77777777" w:rsidR="00723DBE" w:rsidRDefault="00723DBE" w:rsidP="008E3C94">
      <w:pPr>
        <w:ind w:left="360"/>
      </w:pPr>
      <w:r>
        <w:t xml:space="preserve">Creditors and provisions are recognised where the charity has a present obligation resulting from a past event that will </w:t>
      </w:r>
      <w:proofErr w:type="spellStart"/>
      <w:r>
        <w:t>probablyresult</w:t>
      </w:r>
      <w:proofErr w:type="spellEnd"/>
      <w:r>
        <w:t xml:space="preserve"> in the transfer of funds to a third party and the amount due to settle the obligation can be measured or estimated </w:t>
      </w:r>
      <w:proofErr w:type="spellStart"/>
      <w:proofErr w:type="gramStart"/>
      <w:r>
        <w:t>reliably.Creditors</w:t>
      </w:r>
      <w:proofErr w:type="spellEnd"/>
      <w:proofErr w:type="gramEnd"/>
      <w:r>
        <w:t xml:space="preserve"> and provisions are normally recognised at their settlement amount after allowing for any trade discounts due. </w:t>
      </w:r>
    </w:p>
    <w:p w14:paraId="439AB5C7" w14:textId="77777777" w:rsidR="00723DBE" w:rsidRDefault="00723DBE" w:rsidP="00723DBE"/>
    <w:p w14:paraId="213C7527" w14:textId="2C441773" w:rsidR="00723DBE" w:rsidRPr="00CD2263" w:rsidRDefault="00723DBE" w:rsidP="00882D2F">
      <w:pPr>
        <w:pStyle w:val="ListParagraph"/>
        <w:numPr>
          <w:ilvl w:val="0"/>
          <w:numId w:val="7"/>
        </w:numPr>
        <w:rPr>
          <w:b/>
          <w:bCs/>
        </w:rPr>
      </w:pPr>
      <w:r w:rsidRPr="00CD2263">
        <w:rPr>
          <w:b/>
          <w:bCs/>
        </w:rPr>
        <w:t xml:space="preserve">Financial instruments </w:t>
      </w:r>
    </w:p>
    <w:p w14:paraId="27671530" w14:textId="014B7144" w:rsidR="00723DBE" w:rsidRDefault="00723DBE" w:rsidP="008E3C94">
      <w:pPr>
        <w:ind w:left="360"/>
      </w:pPr>
      <w:r>
        <w:t xml:space="preserve">The charity only has financial assets and financial liabilities of a kind that qualify as basic financial instruments. Basic financial instruments are initially recognised at transaction value and subsequently measured at their settlement value </w:t>
      </w:r>
      <w:proofErr w:type="gramStart"/>
      <w:r>
        <w:t>with the exception of</w:t>
      </w:r>
      <w:proofErr w:type="gramEnd"/>
      <w:r>
        <w:t xml:space="preserve"> bank loans which are subsequently measured at amortised cost using the effective interest method. </w:t>
      </w:r>
    </w:p>
    <w:p w14:paraId="4645015D" w14:textId="77777777" w:rsidR="008E3C94" w:rsidRDefault="008E3C94" w:rsidP="008E3C94">
      <w:pPr>
        <w:ind w:left="360"/>
      </w:pPr>
    </w:p>
    <w:p w14:paraId="38A498DF" w14:textId="4CF75982" w:rsidR="00723DBE" w:rsidRPr="00CD2263" w:rsidRDefault="00723DBE" w:rsidP="00882D2F">
      <w:pPr>
        <w:pStyle w:val="ListParagraph"/>
        <w:numPr>
          <w:ilvl w:val="0"/>
          <w:numId w:val="7"/>
        </w:numPr>
        <w:rPr>
          <w:b/>
          <w:bCs/>
        </w:rPr>
      </w:pPr>
      <w:r w:rsidRPr="00CD2263">
        <w:rPr>
          <w:b/>
          <w:bCs/>
        </w:rPr>
        <w:t xml:space="preserve">Pensions </w:t>
      </w:r>
    </w:p>
    <w:p w14:paraId="6228BFE5" w14:textId="56AB7E44" w:rsidR="00723DBE" w:rsidRDefault="00723DBE" w:rsidP="006A6104">
      <w:pPr>
        <w:ind w:left="360"/>
      </w:pPr>
      <w:r>
        <w:t>The charity contributes to a defined contribution pension scheme for employees under auto-enrolment. The assets of the Scheme are held separately from those of the undertaking in an independently administered fund. The pension costs charge represents contributions payable by the charity to the Scheme.</w:t>
      </w:r>
    </w:p>
    <w:p w14:paraId="0C17E5FA" w14:textId="0BDE512F" w:rsidR="008E3C94" w:rsidRDefault="008E3C94" w:rsidP="00723DBE"/>
    <w:p w14:paraId="6ADD35BD" w14:textId="4363804E" w:rsidR="008E3C94" w:rsidRDefault="008E3C94">
      <w:pPr>
        <w:widowControl/>
        <w:autoSpaceDE/>
        <w:autoSpaceDN/>
      </w:pPr>
      <w:r>
        <w:br w:type="page"/>
      </w:r>
    </w:p>
    <w:p w14:paraId="5B3E18DC" w14:textId="2FD644B1" w:rsidR="008E3C94" w:rsidRDefault="008E3C94" w:rsidP="00723DBE">
      <w:pPr>
        <w:pStyle w:val="ListNumber"/>
      </w:pPr>
      <w:r>
        <w:lastRenderedPageBreak/>
        <w:t xml:space="preserve">Income from donations, </w:t>
      </w:r>
      <w:proofErr w:type="gramStart"/>
      <w:r>
        <w:t>legacies</w:t>
      </w:r>
      <w:proofErr w:type="gramEnd"/>
      <w:r>
        <w:t xml:space="preserve"> and events</w:t>
      </w:r>
      <w:r w:rsidRPr="008E3C94">
        <w:t xml:space="preserve"> </w:t>
      </w:r>
    </w:p>
    <w:tbl>
      <w:tblPr>
        <w:tblStyle w:val="PlainTable4"/>
        <w:tblW w:w="8525" w:type="dxa"/>
        <w:tblLook w:val="04A0" w:firstRow="1" w:lastRow="0" w:firstColumn="1" w:lastColumn="0" w:noHBand="0" w:noVBand="1"/>
      </w:tblPr>
      <w:tblGrid>
        <w:gridCol w:w="3965"/>
        <w:gridCol w:w="1145"/>
        <w:gridCol w:w="1139"/>
        <w:gridCol w:w="1138"/>
        <w:gridCol w:w="1138"/>
      </w:tblGrid>
      <w:tr w:rsidR="001B1DFE" w:rsidRPr="00CD2263" w14:paraId="1478A35F" w14:textId="77777777" w:rsidTr="002E2EDA">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652115AB" w14:textId="77777777" w:rsidR="001B1DFE" w:rsidRPr="00CD2263" w:rsidRDefault="001B1DFE" w:rsidP="001B1DFE">
            <w:pPr>
              <w:rPr>
                <w:b w:val="0"/>
                <w:bCs w:val="0"/>
                <w:sz w:val="16"/>
                <w:szCs w:val="16"/>
              </w:rPr>
            </w:pPr>
          </w:p>
        </w:tc>
        <w:tc>
          <w:tcPr>
            <w:tcW w:w="1145" w:type="dxa"/>
            <w:vAlign w:val="center"/>
          </w:tcPr>
          <w:p w14:paraId="39A0C249" w14:textId="77777777"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Unrestricted</w:t>
            </w:r>
          </w:p>
          <w:p w14:paraId="3022B86F" w14:textId="674A34EC"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w:t>
            </w:r>
          </w:p>
        </w:tc>
        <w:tc>
          <w:tcPr>
            <w:tcW w:w="1139" w:type="dxa"/>
            <w:vAlign w:val="center"/>
          </w:tcPr>
          <w:p w14:paraId="5396EFA1" w14:textId="77777777"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Restricted</w:t>
            </w:r>
          </w:p>
          <w:p w14:paraId="3F0A37B1" w14:textId="6073E7A0"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w:t>
            </w:r>
          </w:p>
        </w:tc>
        <w:tc>
          <w:tcPr>
            <w:tcW w:w="1138" w:type="dxa"/>
            <w:vAlign w:val="center"/>
          </w:tcPr>
          <w:p w14:paraId="6122522F" w14:textId="77777777"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pPr>
            <w:r w:rsidRPr="00CD2263">
              <w:t>2021</w:t>
            </w:r>
          </w:p>
          <w:p w14:paraId="19CD0394" w14:textId="77777777"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pPr>
            <w:r w:rsidRPr="00CD2263">
              <w:t>Total</w:t>
            </w:r>
          </w:p>
          <w:p w14:paraId="06075214" w14:textId="690F050D"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pPr>
            <w:r w:rsidRPr="00CD2263">
              <w:t>£</w:t>
            </w:r>
          </w:p>
        </w:tc>
        <w:tc>
          <w:tcPr>
            <w:tcW w:w="1138" w:type="dxa"/>
            <w:vAlign w:val="center"/>
          </w:tcPr>
          <w:p w14:paraId="46F8A885" w14:textId="77777777"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2020</w:t>
            </w:r>
          </w:p>
          <w:p w14:paraId="06DEE47B" w14:textId="77777777"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Total</w:t>
            </w:r>
          </w:p>
          <w:p w14:paraId="61E47566" w14:textId="2FEFEE5E" w:rsidR="001B1DFE" w:rsidRPr="00CD2263" w:rsidRDefault="001B1DFE" w:rsidP="001B1DFE">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w:t>
            </w:r>
          </w:p>
        </w:tc>
      </w:tr>
      <w:tr w:rsidR="002E2EDA" w:rsidRPr="00CD2263" w14:paraId="61BD3E77" w14:textId="77777777" w:rsidTr="00CD226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73203AC4" w14:textId="1243E4EE" w:rsidR="002E2EDA" w:rsidRPr="00CD2263" w:rsidRDefault="002E2EDA" w:rsidP="002E2EDA">
            <w:pPr>
              <w:pStyle w:val="TableParagraph"/>
              <w:rPr>
                <w:b w:val="0"/>
                <w:bCs w:val="0"/>
              </w:rPr>
            </w:pPr>
            <w:r w:rsidRPr="00CD2263">
              <w:rPr>
                <w:b w:val="0"/>
                <w:bCs w:val="0"/>
              </w:rPr>
              <w:t>Gifts</w:t>
            </w:r>
          </w:p>
        </w:tc>
        <w:tc>
          <w:tcPr>
            <w:tcW w:w="1145" w:type="dxa"/>
            <w:vAlign w:val="center"/>
          </w:tcPr>
          <w:p w14:paraId="373C25CE" w14:textId="08957DFC"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pPr>
            <w:r w:rsidRPr="00CD2263">
              <w:rPr>
                <w:rFonts w:cs="Calibri"/>
                <w:sz w:val="20"/>
                <w:szCs w:val="20"/>
              </w:rPr>
              <w:t>146,902</w:t>
            </w:r>
          </w:p>
        </w:tc>
        <w:tc>
          <w:tcPr>
            <w:tcW w:w="1139" w:type="dxa"/>
            <w:vAlign w:val="center"/>
          </w:tcPr>
          <w:p w14:paraId="19831BD1" w14:textId="5DA7D5D4"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pPr>
            <w:r w:rsidRPr="00CD2263">
              <w:rPr>
                <w:rFonts w:cs="Calibri"/>
                <w:sz w:val="20"/>
                <w:szCs w:val="20"/>
              </w:rPr>
              <w:t>954</w:t>
            </w:r>
          </w:p>
        </w:tc>
        <w:tc>
          <w:tcPr>
            <w:tcW w:w="1138" w:type="dxa"/>
            <w:vAlign w:val="center"/>
          </w:tcPr>
          <w:p w14:paraId="55CEDB72" w14:textId="7B1A5B5A"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CD2263">
              <w:rPr>
                <w:rFonts w:cs="Calibri"/>
                <w:b/>
                <w:bCs/>
                <w:sz w:val="20"/>
                <w:szCs w:val="20"/>
              </w:rPr>
              <w:t>147,856</w:t>
            </w:r>
          </w:p>
        </w:tc>
        <w:tc>
          <w:tcPr>
            <w:tcW w:w="1138" w:type="dxa"/>
            <w:vAlign w:val="center"/>
          </w:tcPr>
          <w:p w14:paraId="7BC578EE" w14:textId="4FFD4419" w:rsidR="002E2EDA" w:rsidRPr="00CD2263" w:rsidRDefault="00934EAA" w:rsidP="00CD2263">
            <w:pPr>
              <w:pStyle w:val="TableParagraph"/>
              <w:jc w:val="right"/>
              <w:cnfStyle w:val="000000100000" w:firstRow="0" w:lastRow="0" w:firstColumn="0" w:lastColumn="0" w:oddVBand="0" w:evenVBand="0" w:oddHBand="1" w:evenHBand="0" w:firstRowFirstColumn="0" w:firstRowLastColumn="0" w:lastRowFirstColumn="0" w:lastRowLastColumn="0"/>
            </w:pPr>
            <w:r>
              <w:rPr>
                <w:rFonts w:cs="Calibri"/>
                <w:sz w:val="20"/>
                <w:szCs w:val="20"/>
              </w:rPr>
              <w:t>78,000</w:t>
            </w:r>
          </w:p>
        </w:tc>
      </w:tr>
      <w:tr w:rsidR="002E2EDA" w:rsidRPr="00CD2263" w14:paraId="64B007D0" w14:textId="77777777" w:rsidTr="00CD2263">
        <w:trPr>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34124CBF" w14:textId="6FB3D619" w:rsidR="002E2EDA" w:rsidRPr="00CD2263" w:rsidRDefault="002E2EDA" w:rsidP="002E2EDA">
            <w:pPr>
              <w:pStyle w:val="TableParagraph"/>
              <w:rPr>
                <w:b w:val="0"/>
                <w:bCs w:val="0"/>
              </w:rPr>
            </w:pPr>
            <w:r w:rsidRPr="00CD2263">
              <w:rPr>
                <w:b w:val="0"/>
                <w:bCs w:val="0"/>
              </w:rPr>
              <w:t>Legacies</w:t>
            </w:r>
          </w:p>
        </w:tc>
        <w:tc>
          <w:tcPr>
            <w:tcW w:w="1145" w:type="dxa"/>
            <w:vAlign w:val="center"/>
          </w:tcPr>
          <w:p w14:paraId="3AA73775" w14:textId="6A0EF500"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pPr>
            <w:r w:rsidRPr="00CD2263">
              <w:rPr>
                <w:rFonts w:cs="Calibri"/>
                <w:sz w:val="20"/>
                <w:szCs w:val="20"/>
              </w:rPr>
              <w:t>690,216</w:t>
            </w:r>
          </w:p>
        </w:tc>
        <w:tc>
          <w:tcPr>
            <w:tcW w:w="1139" w:type="dxa"/>
            <w:vAlign w:val="center"/>
          </w:tcPr>
          <w:p w14:paraId="3C075507" w14:textId="0AC31823"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pPr>
            <w:r w:rsidRPr="00CD2263">
              <w:rPr>
                <w:rFonts w:cs="Calibri"/>
                <w:sz w:val="20"/>
                <w:szCs w:val="20"/>
              </w:rPr>
              <w:t>-</w:t>
            </w:r>
          </w:p>
        </w:tc>
        <w:tc>
          <w:tcPr>
            <w:tcW w:w="1138" w:type="dxa"/>
            <w:vAlign w:val="center"/>
          </w:tcPr>
          <w:p w14:paraId="0055B900" w14:textId="3D2F769E"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CD2263">
              <w:rPr>
                <w:rFonts w:cs="Calibri"/>
                <w:b/>
                <w:bCs/>
                <w:sz w:val="20"/>
                <w:szCs w:val="20"/>
              </w:rPr>
              <w:t>690,216</w:t>
            </w:r>
          </w:p>
        </w:tc>
        <w:tc>
          <w:tcPr>
            <w:tcW w:w="1138" w:type="dxa"/>
            <w:vAlign w:val="center"/>
          </w:tcPr>
          <w:p w14:paraId="73A6E51A" w14:textId="30A8CD53" w:rsidR="002E2EDA" w:rsidRPr="00CD2263" w:rsidRDefault="00934EAA" w:rsidP="00CD2263">
            <w:pPr>
              <w:pStyle w:val="TableParagraph"/>
              <w:jc w:val="right"/>
              <w:cnfStyle w:val="000000000000" w:firstRow="0" w:lastRow="0" w:firstColumn="0" w:lastColumn="0" w:oddVBand="0" w:evenVBand="0" w:oddHBand="0" w:evenHBand="0" w:firstRowFirstColumn="0" w:firstRowLastColumn="0" w:lastRowFirstColumn="0" w:lastRowLastColumn="0"/>
            </w:pPr>
            <w:r>
              <w:rPr>
                <w:rFonts w:cs="Calibri"/>
                <w:sz w:val="20"/>
                <w:szCs w:val="20"/>
              </w:rPr>
              <w:t>1,340,094</w:t>
            </w:r>
          </w:p>
        </w:tc>
      </w:tr>
      <w:tr w:rsidR="002E2EDA" w:rsidRPr="00CD2263" w14:paraId="18E46210" w14:textId="77777777" w:rsidTr="00CD226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5028980B" w14:textId="66EC16EE" w:rsidR="002E2EDA" w:rsidRPr="00CD2263" w:rsidRDefault="002E2EDA" w:rsidP="002E2EDA">
            <w:pPr>
              <w:pStyle w:val="TableParagraph"/>
              <w:rPr>
                <w:b w:val="0"/>
                <w:bCs w:val="0"/>
              </w:rPr>
            </w:pPr>
            <w:r w:rsidRPr="00CD2263">
              <w:rPr>
                <w:b w:val="0"/>
                <w:bCs w:val="0"/>
              </w:rPr>
              <w:t>Donations</w:t>
            </w:r>
          </w:p>
        </w:tc>
        <w:tc>
          <w:tcPr>
            <w:tcW w:w="1145" w:type="dxa"/>
            <w:vAlign w:val="center"/>
          </w:tcPr>
          <w:p w14:paraId="68312997" w14:textId="5AD9F3A4"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pPr>
            <w:r w:rsidRPr="00CD2263">
              <w:rPr>
                <w:rFonts w:cs="Calibri"/>
                <w:sz w:val="20"/>
                <w:szCs w:val="20"/>
              </w:rPr>
              <w:t>449,413</w:t>
            </w:r>
          </w:p>
        </w:tc>
        <w:tc>
          <w:tcPr>
            <w:tcW w:w="1139" w:type="dxa"/>
            <w:vAlign w:val="center"/>
          </w:tcPr>
          <w:p w14:paraId="41157A4B" w14:textId="79819C53"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pPr>
            <w:r w:rsidRPr="00CD2263">
              <w:rPr>
                <w:rFonts w:cs="Calibri"/>
                <w:sz w:val="20"/>
                <w:szCs w:val="20"/>
              </w:rPr>
              <w:t>906</w:t>
            </w:r>
          </w:p>
        </w:tc>
        <w:tc>
          <w:tcPr>
            <w:tcW w:w="1138" w:type="dxa"/>
            <w:vAlign w:val="center"/>
          </w:tcPr>
          <w:p w14:paraId="7001736C" w14:textId="60E66D07"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CD2263">
              <w:rPr>
                <w:rFonts w:cs="Calibri"/>
                <w:b/>
                <w:bCs/>
                <w:sz w:val="20"/>
                <w:szCs w:val="20"/>
              </w:rPr>
              <w:t>450,320</w:t>
            </w:r>
          </w:p>
        </w:tc>
        <w:tc>
          <w:tcPr>
            <w:tcW w:w="1138" w:type="dxa"/>
            <w:vAlign w:val="center"/>
          </w:tcPr>
          <w:p w14:paraId="02B5F0D2" w14:textId="70A26BF6" w:rsidR="002E2EDA" w:rsidRPr="00CD2263" w:rsidRDefault="00934EAA" w:rsidP="00CD2263">
            <w:pPr>
              <w:pStyle w:val="TableParagraph"/>
              <w:jc w:val="right"/>
              <w:cnfStyle w:val="000000100000" w:firstRow="0" w:lastRow="0" w:firstColumn="0" w:lastColumn="0" w:oddVBand="0" w:evenVBand="0" w:oddHBand="1" w:evenHBand="0" w:firstRowFirstColumn="0" w:firstRowLastColumn="0" w:lastRowFirstColumn="0" w:lastRowLastColumn="0"/>
            </w:pPr>
            <w:r>
              <w:rPr>
                <w:rFonts w:cs="Calibri"/>
                <w:sz w:val="20"/>
                <w:szCs w:val="20"/>
              </w:rPr>
              <w:t>579,085</w:t>
            </w:r>
          </w:p>
        </w:tc>
      </w:tr>
      <w:tr w:rsidR="002E2EDA" w:rsidRPr="00CD2263" w14:paraId="1A163A53" w14:textId="77777777" w:rsidTr="00CD2263">
        <w:trPr>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0C92B504" w14:textId="49BB1E0E" w:rsidR="002E2EDA" w:rsidRPr="00CD2263" w:rsidRDefault="002E2EDA" w:rsidP="002E2EDA">
            <w:pPr>
              <w:pStyle w:val="TableParagraph"/>
              <w:rPr>
                <w:b w:val="0"/>
                <w:bCs w:val="0"/>
              </w:rPr>
            </w:pPr>
            <w:r w:rsidRPr="00CD2263">
              <w:rPr>
                <w:b w:val="0"/>
                <w:bCs w:val="0"/>
              </w:rPr>
              <w:t>Corporate and trust donations</w:t>
            </w:r>
          </w:p>
        </w:tc>
        <w:tc>
          <w:tcPr>
            <w:tcW w:w="1145" w:type="dxa"/>
            <w:vAlign w:val="center"/>
          </w:tcPr>
          <w:p w14:paraId="255CEFC2" w14:textId="7664B0F8"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pPr>
            <w:r w:rsidRPr="00CD2263">
              <w:rPr>
                <w:rFonts w:cs="Calibri"/>
                <w:sz w:val="20"/>
                <w:szCs w:val="20"/>
              </w:rPr>
              <w:t>134,696</w:t>
            </w:r>
          </w:p>
        </w:tc>
        <w:tc>
          <w:tcPr>
            <w:tcW w:w="1139" w:type="dxa"/>
            <w:vAlign w:val="center"/>
          </w:tcPr>
          <w:p w14:paraId="7966BD37" w14:textId="7C572365"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pPr>
            <w:r w:rsidRPr="00CD2263">
              <w:rPr>
                <w:rFonts w:cs="Calibri"/>
                <w:sz w:val="20"/>
                <w:szCs w:val="20"/>
              </w:rPr>
              <w:t>76,771</w:t>
            </w:r>
          </w:p>
        </w:tc>
        <w:tc>
          <w:tcPr>
            <w:tcW w:w="1138" w:type="dxa"/>
            <w:vAlign w:val="center"/>
          </w:tcPr>
          <w:p w14:paraId="7575DBB7" w14:textId="02F19963"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CD2263">
              <w:rPr>
                <w:rFonts w:cs="Calibri"/>
                <w:b/>
                <w:bCs/>
                <w:sz w:val="20"/>
                <w:szCs w:val="20"/>
              </w:rPr>
              <w:t>211,467</w:t>
            </w:r>
          </w:p>
        </w:tc>
        <w:tc>
          <w:tcPr>
            <w:tcW w:w="1138" w:type="dxa"/>
            <w:vAlign w:val="center"/>
          </w:tcPr>
          <w:p w14:paraId="457AFBAF" w14:textId="528865F6" w:rsidR="002E2EDA" w:rsidRPr="00CD2263" w:rsidRDefault="00934EAA" w:rsidP="00CD2263">
            <w:pPr>
              <w:pStyle w:val="TableParagraph"/>
              <w:jc w:val="right"/>
              <w:cnfStyle w:val="000000000000" w:firstRow="0" w:lastRow="0" w:firstColumn="0" w:lastColumn="0" w:oddVBand="0" w:evenVBand="0" w:oddHBand="0" w:evenHBand="0" w:firstRowFirstColumn="0" w:firstRowLastColumn="0" w:lastRowFirstColumn="0" w:lastRowLastColumn="0"/>
            </w:pPr>
            <w:r>
              <w:rPr>
                <w:rFonts w:cs="Calibri"/>
                <w:sz w:val="20"/>
                <w:szCs w:val="20"/>
              </w:rPr>
              <w:t>96,331</w:t>
            </w:r>
          </w:p>
        </w:tc>
      </w:tr>
      <w:tr w:rsidR="002E2EDA" w:rsidRPr="00CD2263" w14:paraId="60A56268" w14:textId="77777777" w:rsidTr="00CD226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61C83C25" w14:textId="1404F08E" w:rsidR="002E2EDA" w:rsidRPr="00CD2263" w:rsidRDefault="002E2EDA" w:rsidP="002E2EDA">
            <w:pPr>
              <w:pStyle w:val="TableParagraph"/>
              <w:rPr>
                <w:b w:val="0"/>
                <w:bCs w:val="0"/>
              </w:rPr>
            </w:pPr>
            <w:r w:rsidRPr="00CD2263">
              <w:rPr>
                <w:b w:val="0"/>
                <w:bCs w:val="0"/>
              </w:rPr>
              <w:t>Event income</w:t>
            </w:r>
          </w:p>
        </w:tc>
        <w:tc>
          <w:tcPr>
            <w:tcW w:w="1145" w:type="dxa"/>
            <w:vAlign w:val="center"/>
          </w:tcPr>
          <w:p w14:paraId="0DAB81C6" w14:textId="0FE6047F"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pPr>
            <w:r w:rsidRPr="00CD2263">
              <w:rPr>
                <w:rFonts w:cs="Calibri"/>
                <w:sz w:val="20"/>
                <w:szCs w:val="20"/>
              </w:rPr>
              <w:t>26,908</w:t>
            </w:r>
          </w:p>
        </w:tc>
        <w:tc>
          <w:tcPr>
            <w:tcW w:w="1139" w:type="dxa"/>
            <w:vAlign w:val="center"/>
          </w:tcPr>
          <w:p w14:paraId="079E5164" w14:textId="35F5D4A6"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pPr>
            <w:r w:rsidRPr="00CD2263">
              <w:rPr>
                <w:rFonts w:cs="Calibri"/>
                <w:sz w:val="20"/>
                <w:szCs w:val="20"/>
              </w:rPr>
              <w:t>-</w:t>
            </w:r>
          </w:p>
        </w:tc>
        <w:tc>
          <w:tcPr>
            <w:tcW w:w="1138" w:type="dxa"/>
            <w:vAlign w:val="center"/>
          </w:tcPr>
          <w:p w14:paraId="5FA50F3E" w14:textId="09961767"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CD2263">
              <w:rPr>
                <w:rFonts w:cs="Calibri"/>
                <w:b/>
                <w:bCs/>
                <w:sz w:val="20"/>
                <w:szCs w:val="20"/>
              </w:rPr>
              <w:t>26,908</w:t>
            </w:r>
          </w:p>
        </w:tc>
        <w:tc>
          <w:tcPr>
            <w:tcW w:w="1138" w:type="dxa"/>
            <w:vAlign w:val="center"/>
          </w:tcPr>
          <w:p w14:paraId="5A4693EA" w14:textId="383D091B" w:rsidR="002E2EDA" w:rsidRPr="00CD2263" w:rsidRDefault="00934EAA" w:rsidP="00CD2263">
            <w:pPr>
              <w:pStyle w:val="TableParagraph"/>
              <w:jc w:val="right"/>
              <w:cnfStyle w:val="000000100000" w:firstRow="0" w:lastRow="0" w:firstColumn="0" w:lastColumn="0" w:oddVBand="0" w:evenVBand="0" w:oddHBand="1" w:evenHBand="0" w:firstRowFirstColumn="0" w:firstRowLastColumn="0" w:lastRowFirstColumn="0" w:lastRowLastColumn="0"/>
            </w:pPr>
            <w:r>
              <w:rPr>
                <w:rFonts w:cs="Calibri"/>
                <w:sz w:val="20"/>
                <w:szCs w:val="20"/>
              </w:rPr>
              <w:t>40,765</w:t>
            </w:r>
          </w:p>
        </w:tc>
      </w:tr>
      <w:tr w:rsidR="002E2EDA" w:rsidRPr="00CD2263" w14:paraId="45CA235D" w14:textId="77777777" w:rsidTr="00CD2263">
        <w:trPr>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43BD06EC" w14:textId="77777777" w:rsidR="002E2EDA" w:rsidRPr="00CD2263" w:rsidRDefault="002E2EDA" w:rsidP="002E2EDA">
            <w:pPr>
              <w:pStyle w:val="TableParagraph"/>
              <w:rPr>
                <w:b w:val="0"/>
                <w:bCs w:val="0"/>
              </w:rPr>
            </w:pPr>
          </w:p>
        </w:tc>
        <w:tc>
          <w:tcPr>
            <w:tcW w:w="1145" w:type="dxa"/>
            <w:tcBorders>
              <w:bottom w:val="single" w:sz="4" w:space="0" w:color="auto"/>
            </w:tcBorders>
            <w:vAlign w:val="center"/>
          </w:tcPr>
          <w:p w14:paraId="5C1599A6" w14:textId="06472CEB"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pPr>
            <w:r w:rsidRPr="00CD2263">
              <w:rPr>
                <w:rFonts w:cs="Calibri"/>
                <w:sz w:val="20"/>
                <w:szCs w:val="20"/>
              </w:rPr>
              <w:t> </w:t>
            </w:r>
          </w:p>
        </w:tc>
        <w:tc>
          <w:tcPr>
            <w:tcW w:w="1139" w:type="dxa"/>
            <w:tcBorders>
              <w:bottom w:val="single" w:sz="4" w:space="0" w:color="auto"/>
            </w:tcBorders>
            <w:vAlign w:val="center"/>
          </w:tcPr>
          <w:p w14:paraId="43B45C68" w14:textId="32EBC0FE"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pPr>
            <w:r w:rsidRPr="00CD2263">
              <w:rPr>
                <w:rFonts w:cs="Calibri"/>
                <w:sz w:val="20"/>
                <w:szCs w:val="20"/>
              </w:rPr>
              <w:t> </w:t>
            </w:r>
          </w:p>
        </w:tc>
        <w:tc>
          <w:tcPr>
            <w:tcW w:w="1138" w:type="dxa"/>
            <w:tcBorders>
              <w:bottom w:val="single" w:sz="4" w:space="0" w:color="auto"/>
            </w:tcBorders>
            <w:vAlign w:val="center"/>
          </w:tcPr>
          <w:p w14:paraId="7949D938" w14:textId="5E0C72E1"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CD2263">
              <w:rPr>
                <w:rFonts w:cs="Calibri"/>
                <w:b/>
                <w:bCs/>
                <w:sz w:val="20"/>
                <w:szCs w:val="20"/>
              </w:rPr>
              <w:t> </w:t>
            </w:r>
          </w:p>
        </w:tc>
        <w:tc>
          <w:tcPr>
            <w:tcW w:w="1138" w:type="dxa"/>
            <w:tcBorders>
              <w:bottom w:val="single" w:sz="4" w:space="0" w:color="auto"/>
            </w:tcBorders>
            <w:vAlign w:val="center"/>
          </w:tcPr>
          <w:p w14:paraId="211F3893" w14:textId="4D5B28A2" w:rsidR="002E2EDA" w:rsidRPr="00CD2263" w:rsidRDefault="002E2EDA" w:rsidP="00CD2263">
            <w:pPr>
              <w:pStyle w:val="TableParagraph"/>
              <w:jc w:val="right"/>
              <w:cnfStyle w:val="000000000000" w:firstRow="0" w:lastRow="0" w:firstColumn="0" w:lastColumn="0" w:oddVBand="0" w:evenVBand="0" w:oddHBand="0" w:evenHBand="0" w:firstRowFirstColumn="0" w:firstRowLastColumn="0" w:lastRowFirstColumn="0" w:lastRowLastColumn="0"/>
            </w:pPr>
            <w:r w:rsidRPr="00CD2263">
              <w:rPr>
                <w:rFonts w:cs="Calibri"/>
                <w:sz w:val="20"/>
                <w:szCs w:val="20"/>
              </w:rPr>
              <w:t> </w:t>
            </w:r>
          </w:p>
        </w:tc>
      </w:tr>
      <w:tr w:rsidR="002E2EDA" w:rsidRPr="00CD2263" w14:paraId="746313AF" w14:textId="77777777" w:rsidTr="00CD226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76BB76F5" w14:textId="77777777" w:rsidR="002E2EDA" w:rsidRPr="00CD2263" w:rsidRDefault="002E2EDA" w:rsidP="002E2EDA">
            <w:pPr>
              <w:pStyle w:val="TableParagraph"/>
              <w:rPr>
                <w:b w:val="0"/>
                <w:bCs w:val="0"/>
              </w:rPr>
            </w:pPr>
          </w:p>
        </w:tc>
        <w:tc>
          <w:tcPr>
            <w:tcW w:w="1145" w:type="dxa"/>
            <w:tcBorders>
              <w:top w:val="single" w:sz="4" w:space="0" w:color="auto"/>
              <w:bottom w:val="double" w:sz="4" w:space="0" w:color="auto"/>
            </w:tcBorders>
            <w:vAlign w:val="center"/>
          </w:tcPr>
          <w:p w14:paraId="02E74EAF" w14:textId="12D9C4EA"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pPr>
            <w:r w:rsidRPr="00CD2263">
              <w:t>1,448,134</w:t>
            </w:r>
          </w:p>
        </w:tc>
        <w:tc>
          <w:tcPr>
            <w:tcW w:w="1139" w:type="dxa"/>
            <w:tcBorders>
              <w:top w:val="single" w:sz="4" w:space="0" w:color="auto"/>
              <w:bottom w:val="double" w:sz="4" w:space="0" w:color="auto"/>
            </w:tcBorders>
            <w:vAlign w:val="center"/>
          </w:tcPr>
          <w:p w14:paraId="7EC2346F" w14:textId="0E768137"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pPr>
            <w:r w:rsidRPr="00CD2263">
              <w:t>78,631</w:t>
            </w:r>
          </w:p>
        </w:tc>
        <w:tc>
          <w:tcPr>
            <w:tcW w:w="1138" w:type="dxa"/>
            <w:tcBorders>
              <w:top w:val="single" w:sz="4" w:space="0" w:color="auto"/>
              <w:bottom w:val="double" w:sz="4" w:space="0" w:color="auto"/>
            </w:tcBorders>
            <w:vAlign w:val="center"/>
          </w:tcPr>
          <w:p w14:paraId="7B62949D" w14:textId="186092A3" w:rsidR="002E2EDA" w:rsidRPr="00CD2263" w:rsidRDefault="002E2EDA" w:rsidP="00CD2263">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CD2263">
              <w:rPr>
                <w:b/>
                <w:bCs/>
              </w:rPr>
              <w:t>1,526,766</w:t>
            </w:r>
          </w:p>
        </w:tc>
        <w:tc>
          <w:tcPr>
            <w:tcW w:w="1138" w:type="dxa"/>
            <w:tcBorders>
              <w:top w:val="single" w:sz="4" w:space="0" w:color="auto"/>
              <w:bottom w:val="double" w:sz="4" w:space="0" w:color="auto"/>
            </w:tcBorders>
            <w:vAlign w:val="center"/>
          </w:tcPr>
          <w:p w14:paraId="0FEC3968" w14:textId="2AF3F974" w:rsidR="002E2EDA" w:rsidRPr="00CD2263" w:rsidRDefault="00934EAA" w:rsidP="00CD2263">
            <w:pPr>
              <w:pStyle w:val="TableParagraph"/>
              <w:jc w:val="right"/>
              <w:cnfStyle w:val="000000100000" w:firstRow="0" w:lastRow="0" w:firstColumn="0" w:lastColumn="0" w:oddVBand="0" w:evenVBand="0" w:oddHBand="1" w:evenHBand="0" w:firstRowFirstColumn="0" w:firstRowLastColumn="0" w:lastRowFirstColumn="0" w:lastRowLastColumn="0"/>
            </w:pPr>
            <w:r>
              <w:t>2,134,275</w:t>
            </w:r>
          </w:p>
        </w:tc>
      </w:tr>
    </w:tbl>
    <w:p w14:paraId="6AE82CD6" w14:textId="56BE05CE" w:rsidR="008E3C94" w:rsidRPr="00CD2263" w:rsidRDefault="008E3C94" w:rsidP="00723DBE"/>
    <w:p w14:paraId="39B551F5" w14:textId="6CB5A49D" w:rsidR="001B1DFE" w:rsidRPr="00CD2263" w:rsidRDefault="001B1DFE" w:rsidP="001B1DFE">
      <w:pPr>
        <w:pStyle w:val="TableParagraph"/>
      </w:pPr>
      <w:r w:rsidRPr="00CD2263">
        <w:t>The Charity has been notified of certain legacies which have not been accrued due to uncertainty as to the amount and timing of the receipt. The estimated value of these legacies is in the region of £476k (2020:</w:t>
      </w:r>
      <w:r w:rsidR="00934EAA">
        <w:t xml:space="preserve"> </w:t>
      </w:r>
      <w:r w:rsidRPr="00CD2263">
        <w:t>£587k).</w:t>
      </w:r>
    </w:p>
    <w:p w14:paraId="715968EA" w14:textId="77777777" w:rsidR="001B1DFE" w:rsidRPr="00CD2263" w:rsidRDefault="001B1DFE" w:rsidP="001B1DFE">
      <w:pPr>
        <w:pStyle w:val="TableParagraph"/>
      </w:pPr>
    </w:p>
    <w:p w14:paraId="12B4C109" w14:textId="7C15F4B3" w:rsidR="001B1DFE" w:rsidRPr="00CD2263" w:rsidRDefault="001B1DFE" w:rsidP="001B1DFE">
      <w:pPr>
        <w:pStyle w:val="TableParagraph"/>
      </w:pPr>
      <w:r w:rsidRPr="00CD2263">
        <w:t>The unrestricted gifts of £147k (2020: £78k) represent pro bono support provided during the year.</w:t>
      </w:r>
    </w:p>
    <w:p w14:paraId="52F19C1B" w14:textId="20CCF7A5" w:rsidR="001B1DFE" w:rsidRPr="00CD2263" w:rsidRDefault="001B1DFE" w:rsidP="001B1DFE"/>
    <w:p w14:paraId="72452F02" w14:textId="63295729" w:rsidR="00264C3D" w:rsidRPr="00CD2263" w:rsidRDefault="00264C3D" w:rsidP="001B1DFE"/>
    <w:p w14:paraId="0F262258" w14:textId="4A5D9155" w:rsidR="00264C3D" w:rsidRPr="00CD2263" w:rsidRDefault="00264C3D" w:rsidP="00015F7B">
      <w:pPr>
        <w:pStyle w:val="ListNumber"/>
      </w:pPr>
      <w:r w:rsidRPr="00CD2263">
        <w:t>Income from other trading activities</w:t>
      </w:r>
    </w:p>
    <w:tbl>
      <w:tblPr>
        <w:tblStyle w:val="PlainTable4"/>
        <w:tblW w:w="8525" w:type="dxa"/>
        <w:tblLook w:val="04A0" w:firstRow="1" w:lastRow="0" w:firstColumn="1" w:lastColumn="0" w:noHBand="0" w:noVBand="1"/>
      </w:tblPr>
      <w:tblGrid>
        <w:gridCol w:w="3965"/>
        <w:gridCol w:w="1145"/>
        <w:gridCol w:w="1139"/>
        <w:gridCol w:w="1138"/>
        <w:gridCol w:w="1138"/>
      </w:tblGrid>
      <w:tr w:rsidR="00264C3D" w:rsidRPr="00CD2263" w14:paraId="6ACA4009" w14:textId="77777777" w:rsidTr="00653A38">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5C1F2541" w14:textId="77777777" w:rsidR="00264C3D" w:rsidRPr="00CD2263" w:rsidRDefault="00264C3D" w:rsidP="00330CA2">
            <w:pPr>
              <w:rPr>
                <w:sz w:val="18"/>
                <w:szCs w:val="18"/>
              </w:rPr>
            </w:pPr>
          </w:p>
          <w:p w14:paraId="12089FC3" w14:textId="579722CE" w:rsidR="00264C3D" w:rsidRPr="00CD2263" w:rsidRDefault="00264C3D" w:rsidP="00330CA2">
            <w:pPr>
              <w:rPr>
                <w:b w:val="0"/>
                <w:bCs w:val="0"/>
                <w:sz w:val="18"/>
                <w:szCs w:val="18"/>
              </w:rPr>
            </w:pPr>
          </w:p>
        </w:tc>
        <w:tc>
          <w:tcPr>
            <w:tcW w:w="1145" w:type="dxa"/>
            <w:vAlign w:val="center"/>
          </w:tcPr>
          <w:p w14:paraId="6FE5BC93"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CD2263">
              <w:rPr>
                <w:b w:val="0"/>
                <w:bCs w:val="0"/>
                <w:szCs w:val="18"/>
              </w:rPr>
              <w:t>Unrestricted</w:t>
            </w:r>
          </w:p>
          <w:p w14:paraId="5B805135"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CD2263">
              <w:rPr>
                <w:b w:val="0"/>
                <w:bCs w:val="0"/>
                <w:szCs w:val="18"/>
              </w:rPr>
              <w:t>£</w:t>
            </w:r>
          </w:p>
        </w:tc>
        <w:tc>
          <w:tcPr>
            <w:tcW w:w="1139" w:type="dxa"/>
            <w:vAlign w:val="center"/>
          </w:tcPr>
          <w:p w14:paraId="64B83731"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CD2263">
              <w:rPr>
                <w:b w:val="0"/>
                <w:bCs w:val="0"/>
                <w:szCs w:val="18"/>
              </w:rPr>
              <w:t>Restricted</w:t>
            </w:r>
          </w:p>
          <w:p w14:paraId="0A2A43F2"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CD2263">
              <w:rPr>
                <w:b w:val="0"/>
                <w:bCs w:val="0"/>
                <w:szCs w:val="18"/>
              </w:rPr>
              <w:t>£</w:t>
            </w:r>
          </w:p>
        </w:tc>
        <w:tc>
          <w:tcPr>
            <w:tcW w:w="1138" w:type="dxa"/>
            <w:vAlign w:val="center"/>
          </w:tcPr>
          <w:p w14:paraId="127D5908"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CD2263">
              <w:rPr>
                <w:szCs w:val="18"/>
              </w:rPr>
              <w:t>2021</w:t>
            </w:r>
          </w:p>
          <w:p w14:paraId="6DCD51A2"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CD2263">
              <w:rPr>
                <w:szCs w:val="18"/>
              </w:rPr>
              <w:t>Total</w:t>
            </w:r>
          </w:p>
          <w:p w14:paraId="78C1A9DC"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CD2263">
              <w:rPr>
                <w:szCs w:val="18"/>
              </w:rPr>
              <w:t>£</w:t>
            </w:r>
          </w:p>
        </w:tc>
        <w:tc>
          <w:tcPr>
            <w:tcW w:w="1138" w:type="dxa"/>
            <w:vAlign w:val="center"/>
          </w:tcPr>
          <w:p w14:paraId="389E606C"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CD2263">
              <w:rPr>
                <w:b w:val="0"/>
                <w:bCs w:val="0"/>
                <w:szCs w:val="18"/>
              </w:rPr>
              <w:t>2020</w:t>
            </w:r>
          </w:p>
          <w:p w14:paraId="2EE5E0AF"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CD2263">
              <w:rPr>
                <w:b w:val="0"/>
                <w:bCs w:val="0"/>
                <w:szCs w:val="18"/>
              </w:rPr>
              <w:t>Total</w:t>
            </w:r>
          </w:p>
          <w:p w14:paraId="43E95E0F" w14:textId="77777777" w:rsidR="00264C3D" w:rsidRPr="00CD2263" w:rsidRDefault="00264C3D" w:rsidP="00653A38">
            <w:pPr>
              <w:pStyle w:val="TableParagraph"/>
              <w:jc w:val="right"/>
              <w:cnfStyle w:val="100000000000" w:firstRow="1" w:lastRow="0" w:firstColumn="0" w:lastColumn="0" w:oddVBand="0" w:evenVBand="0" w:oddHBand="0" w:evenHBand="0" w:firstRowFirstColumn="0" w:firstRowLastColumn="0" w:lastRowFirstColumn="0" w:lastRowLastColumn="0"/>
              <w:rPr>
                <w:b w:val="0"/>
                <w:bCs w:val="0"/>
                <w:szCs w:val="18"/>
              </w:rPr>
            </w:pPr>
            <w:r w:rsidRPr="00CD2263">
              <w:rPr>
                <w:b w:val="0"/>
                <w:bCs w:val="0"/>
                <w:szCs w:val="18"/>
              </w:rPr>
              <w:t>£</w:t>
            </w:r>
          </w:p>
        </w:tc>
      </w:tr>
      <w:tr w:rsidR="00653A38" w:rsidRPr="00CD2263" w14:paraId="06D39244" w14:textId="77777777" w:rsidTr="00653A3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65" w:type="dxa"/>
            <w:vAlign w:val="bottom"/>
          </w:tcPr>
          <w:p w14:paraId="6C078A42" w14:textId="7904E29E" w:rsidR="00653A38" w:rsidRPr="00CD2263" w:rsidRDefault="00653A38" w:rsidP="00653A38">
            <w:pPr>
              <w:pStyle w:val="TableParagraph"/>
              <w:rPr>
                <w:b w:val="0"/>
                <w:bCs w:val="0"/>
                <w:szCs w:val="18"/>
              </w:rPr>
            </w:pPr>
            <w:r w:rsidRPr="00CD2263">
              <w:rPr>
                <w:rFonts w:cs="Calibri"/>
                <w:b w:val="0"/>
                <w:bCs w:val="0"/>
                <w:szCs w:val="18"/>
              </w:rPr>
              <w:t>Sales of donated goods</w:t>
            </w:r>
          </w:p>
        </w:tc>
        <w:tc>
          <w:tcPr>
            <w:tcW w:w="1145" w:type="dxa"/>
            <w:vAlign w:val="center"/>
          </w:tcPr>
          <w:p w14:paraId="785002E1" w14:textId="4B76B877" w:rsidR="00653A38" w:rsidRPr="00CD2263" w:rsidRDefault="00653A38" w:rsidP="00653A38">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CD2263">
              <w:rPr>
                <w:rFonts w:cs="Calibri"/>
                <w:szCs w:val="18"/>
              </w:rPr>
              <w:t>223,037</w:t>
            </w:r>
          </w:p>
        </w:tc>
        <w:tc>
          <w:tcPr>
            <w:tcW w:w="1139" w:type="dxa"/>
            <w:vAlign w:val="center"/>
          </w:tcPr>
          <w:p w14:paraId="308B6A26" w14:textId="2466D86C" w:rsidR="00653A38" w:rsidRPr="00CD2263" w:rsidRDefault="00653A38" w:rsidP="00653A38">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CD2263">
              <w:rPr>
                <w:szCs w:val="18"/>
              </w:rPr>
              <w:t>-</w:t>
            </w:r>
          </w:p>
        </w:tc>
        <w:tc>
          <w:tcPr>
            <w:tcW w:w="1138" w:type="dxa"/>
            <w:vAlign w:val="center"/>
          </w:tcPr>
          <w:p w14:paraId="6F7409BF" w14:textId="34B24261" w:rsidR="00653A38" w:rsidRPr="00CD2263" w:rsidRDefault="00653A38" w:rsidP="00653A38">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CD2263">
              <w:rPr>
                <w:rFonts w:cs="Calibri"/>
                <w:b/>
                <w:bCs/>
                <w:szCs w:val="18"/>
              </w:rPr>
              <w:t>223,037</w:t>
            </w:r>
          </w:p>
        </w:tc>
        <w:tc>
          <w:tcPr>
            <w:tcW w:w="1138" w:type="dxa"/>
            <w:vAlign w:val="center"/>
          </w:tcPr>
          <w:p w14:paraId="51A6CB56" w14:textId="6B251F84" w:rsidR="00653A38" w:rsidRPr="00CD2263" w:rsidRDefault="00653A38" w:rsidP="00653A38">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CD2263">
              <w:rPr>
                <w:rFonts w:cs="Calibri"/>
                <w:szCs w:val="18"/>
              </w:rPr>
              <w:t>1,028,434</w:t>
            </w:r>
          </w:p>
        </w:tc>
      </w:tr>
      <w:tr w:rsidR="00653A38" w:rsidRPr="00CD2263" w14:paraId="317EB44B" w14:textId="77777777" w:rsidTr="00653A38">
        <w:trPr>
          <w:trHeight w:val="274"/>
        </w:trPr>
        <w:tc>
          <w:tcPr>
            <w:cnfStyle w:val="001000000000" w:firstRow="0" w:lastRow="0" w:firstColumn="1" w:lastColumn="0" w:oddVBand="0" w:evenVBand="0" w:oddHBand="0" w:evenHBand="0" w:firstRowFirstColumn="0" w:firstRowLastColumn="0" w:lastRowFirstColumn="0" w:lastRowLastColumn="0"/>
            <w:tcW w:w="3965" w:type="dxa"/>
            <w:vAlign w:val="bottom"/>
          </w:tcPr>
          <w:p w14:paraId="7D9EDD04" w14:textId="2B6C928B" w:rsidR="00653A38" w:rsidRPr="00CD2263" w:rsidRDefault="00653A38" w:rsidP="00653A38">
            <w:pPr>
              <w:pStyle w:val="TableParagraph"/>
              <w:rPr>
                <w:b w:val="0"/>
                <w:bCs w:val="0"/>
                <w:szCs w:val="18"/>
              </w:rPr>
            </w:pPr>
            <w:r w:rsidRPr="00CD2263">
              <w:rPr>
                <w:rFonts w:cs="Calibri"/>
                <w:b w:val="0"/>
                <w:bCs w:val="0"/>
                <w:szCs w:val="18"/>
              </w:rPr>
              <w:t>Income from Government Grants (Covid-19 relief)</w:t>
            </w:r>
          </w:p>
        </w:tc>
        <w:tc>
          <w:tcPr>
            <w:tcW w:w="1145" w:type="dxa"/>
            <w:vAlign w:val="center"/>
          </w:tcPr>
          <w:p w14:paraId="5291E9FF" w14:textId="7F3E9916" w:rsidR="00653A38" w:rsidRPr="00CD2263" w:rsidRDefault="00653A38" w:rsidP="00653A38">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CD2263">
              <w:rPr>
                <w:rFonts w:cs="Calibri"/>
                <w:szCs w:val="18"/>
              </w:rPr>
              <w:t>422,397</w:t>
            </w:r>
          </w:p>
        </w:tc>
        <w:tc>
          <w:tcPr>
            <w:tcW w:w="1139" w:type="dxa"/>
            <w:vAlign w:val="center"/>
          </w:tcPr>
          <w:p w14:paraId="42CACC1B" w14:textId="18895E62" w:rsidR="00653A38" w:rsidRPr="00CD2263" w:rsidRDefault="00653A38" w:rsidP="00653A38">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CD2263">
              <w:rPr>
                <w:szCs w:val="18"/>
              </w:rPr>
              <w:t>-</w:t>
            </w:r>
          </w:p>
        </w:tc>
        <w:tc>
          <w:tcPr>
            <w:tcW w:w="1138" w:type="dxa"/>
            <w:vAlign w:val="center"/>
          </w:tcPr>
          <w:p w14:paraId="7904F3EF" w14:textId="3E532F34" w:rsidR="00653A38" w:rsidRPr="00CD2263" w:rsidRDefault="00653A38" w:rsidP="00653A38">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CD2263">
              <w:rPr>
                <w:rFonts w:cs="Calibri"/>
                <w:b/>
                <w:bCs/>
                <w:szCs w:val="18"/>
              </w:rPr>
              <w:t>422,397</w:t>
            </w:r>
          </w:p>
        </w:tc>
        <w:tc>
          <w:tcPr>
            <w:tcW w:w="1138" w:type="dxa"/>
            <w:vAlign w:val="center"/>
          </w:tcPr>
          <w:p w14:paraId="4E0F06A5" w14:textId="0A370072" w:rsidR="00653A38" w:rsidRPr="00CD2263" w:rsidRDefault="00653A38" w:rsidP="00653A38">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CD2263">
              <w:rPr>
                <w:rFonts w:cs="Calibri"/>
                <w:szCs w:val="18"/>
              </w:rPr>
              <w:t>6,968</w:t>
            </w:r>
          </w:p>
        </w:tc>
      </w:tr>
      <w:tr w:rsidR="00653A38" w:rsidRPr="00CD2263" w14:paraId="00F758FB" w14:textId="77777777" w:rsidTr="00653A3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64D77E9B" w14:textId="232CA8D3" w:rsidR="00653A38" w:rsidRPr="00CD2263" w:rsidRDefault="00653A38" w:rsidP="00653A38">
            <w:pPr>
              <w:pStyle w:val="TableParagraph"/>
              <w:rPr>
                <w:b w:val="0"/>
                <w:bCs w:val="0"/>
                <w:szCs w:val="18"/>
              </w:rPr>
            </w:pPr>
          </w:p>
        </w:tc>
        <w:tc>
          <w:tcPr>
            <w:tcW w:w="1145" w:type="dxa"/>
            <w:tcBorders>
              <w:bottom w:val="single" w:sz="4" w:space="0" w:color="auto"/>
            </w:tcBorders>
            <w:vAlign w:val="center"/>
          </w:tcPr>
          <w:p w14:paraId="3A20E696" w14:textId="77777777" w:rsidR="00653A38" w:rsidRPr="00CD2263" w:rsidRDefault="00653A38" w:rsidP="00653A38">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39" w:type="dxa"/>
            <w:tcBorders>
              <w:bottom w:val="single" w:sz="4" w:space="0" w:color="auto"/>
            </w:tcBorders>
            <w:vAlign w:val="center"/>
          </w:tcPr>
          <w:p w14:paraId="1B3AE003" w14:textId="77777777" w:rsidR="00653A38" w:rsidRPr="00CD2263" w:rsidRDefault="00653A38" w:rsidP="00653A38">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38" w:type="dxa"/>
            <w:tcBorders>
              <w:bottom w:val="single" w:sz="4" w:space="0" w:color="auto"/>
            </w:tcBorders>
            <w:vAlign w:val="center"/>
          </w:tcPr>
          <w:p w14:paraId="3CB08C8F" w14:textId="1846BA81" w:rsidR="00653A38" w:rsidRPr="00CD2263" w:rsidRDefault="00653A38" w:rsidP="00653A38">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CD2263">
              <w:rPr>
                <w:rFonts w:cs="Calibri"/>
                <w:b/>
                <w:bCs/>
                <w:szCs w:val="18"/>
              </w:rPr>
              <w:t> </w:t>
            </w:r>
          </w:p>
        </w:tc>
        <w:tc>
          <w:tcPr>
            <w:tcW w:w="1138" w:type="dxa"/>
            <w:tcBorders>
              <w:bottom w:val="single" w:sz="4" w:space="0" w:color="auto"/>
            </w:tcBorders>
            <w:vAlign w:val="center"/>
          </w:tcPr>
          <w:p w14:paraId="5C0D3000" w14:textId="7B18C1B2" w:rsidR="00653A38" w:rsidRPr="00CD2263" w:rsidRDefault="00653A38" w:rsidP="00653A38">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CD2263">
              <w:rPr>
                <w:rFonts w:cs="Calibri"/>
                <w:szCs w:val="18"/>
              </w:rPr>
              <w:t> </w:t>
            </w:r>
          </w:p>
        </w:tc>
      </w:tr>
      <w:tr w:rsidR="00653A38" w:rsidRPr="00CD2263" w14:paraId="11B6FBAE" w14:textId="77777777" w:rsidTr="00653A38">
        <w:trPr>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0DF852C1" w14:textId="7DF0A454" w:rsidR="00653A38" w:rsidRPr="00CD2263" w:rsidRDefault="00653A38" w:rsidP="00653A38">
            <w:pPr>
              <w:pStyle w:val="TableParagraph"/>
              <w:rPr>
                <w:b w:val="0"/>
                <w:bCs w:val="0"/>
                <w:szCs w:val="18"/>
              </w:rPr>
            </w:pPr>
          </w:p>
        </w:tc>
        <w:tc>
          <w:tcPr>
            <w:tcW w:w="1145" w:type="dxa"/>
            <w:tcBorders>
              <w:top w:val="single" w:sz="4" w:space="0" w:color="auto"/>
              <w:bottom w:val="double" w:sz="4" w:space="0" w:color="auto"/>
            </w:tcBorders>
            <w:vAlign w:val="center"/>
          </w:tcPr>
          <w:p w14:paraId="0A8B79C7" w14:textId="13DD1B23" w:rsidR="00653A38" w:rsidRPr="00CD2263" w:rsidRDefault="00653A38" w:rsidP="00653A38">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rPr>
            </w:pPr>
            <w:r w:rsidRPr="00CD2263">
              <w:rPr>
                <w:rFonts w:cs="Calibri"/>
                <w:sz w:val="18"/>
                <w:szCs w:val="18"/>
              </w:rPr>
              <w:t>645,434</w:t>
            </w:r>
          </w:p>
        </w:tc>
        <w:tc>
          <w:tcPr>
            <w:tcW w:w="1139" w:type="dxa"/>
            <w:tcBorders>
              <w:top w:val="single" w:sz="4" w:space="0" w:color="auto"/>
              <w:bottom w:val="double" w:sz="4" w:space="0" w:color="auto"/>
            </w:tcBorders>
            <w:vAlign w:val="center"/>
          </w:tcPr>
          <w:p w14:paraId="23CB7B98" w14:textId="68F6A373" w:rsidR="00653A38" w:rsidRPr="00CD2263" w:rsidRDefault="00653A38" w:rsidP="00653A38">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CD2263">
              <w:rPr>
                <w:szCs w:val="18"/>
              </w:rPr>
              <w:t>-</w:t>
            </w:r>
          </w:p>
        </w:tc>
        <w:tc>
          <w:tcPr>
            <w:tcW w:w="1138" w:type="dxa"/>
            <w:tcBorders>
              <w:top w:val="single" w:sz="4" w:space="0" w:color="auto"/>
              <w:bottom w:val="double" w:sz="4" w:space="0" w:color="auto"/>
            </w:tcBorders>
            <w:vAlign w:val="center"/>
          </w:tcPr>
          <w:p w14:paraId="505147D1" w14:textId="6C6DADD1" w:rsidR="00653A38" w:rsidRPr="00CD2263" w:rsidRDefault="00653A38" w:rsidP="00653A38">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CD2263">
              <w:rPr>
                <w:rFonts w:cs="Calibri"/>
                <w:b/>
                <w:bCs/>
                <w:szCs w:val="18"/>
              </w:rPr>
              <w:t>645,434</w:t>
            </w:r>
          </w:p>
        </w:tc>
        <w:tc>
          <w:tcPr>
            <w:tcW w:w="1138" w:type="dxa"/>
            <w:tcBorders>
              <w:top w:val="single" w:sz="4" w:space="0" w:color="auto"/>
              <w:bottom w:val="double" w:sz="4" w:space="0" w:color="auto"/>
            </w:tcBorders>
            <w:vAlign w:val="center"/>
          </w:tcPr>
          <w:p w14:paraId="593CEF58" w14:textId="7FCBB0E9" w:rsidR="00653A38" w:rsidRPr="00CD2263" w:rsidRDefault="00653A38" w:rsidP="00653A38">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CD2263">
              <w:rPr>
                <w:rFonts w:cs="Calibri"/>
                <w:szCs w:val="18"/>
              </w:rPr>
              <w:t>1,035,402</w:t>
            </w:r>
          </w:p>
        </w:tc>
      </w:tr>
    </w:tbl>
    <w:p w14:paraId="4401AE6A" w14:textId="45589795" w:rsidR="00264C3D" w:rsidRPr="00CD2263" w:rsidRDefault="00264C3D" w:rsidP="001B1DFE"/>
    <w:p w14:paraId="72BC0585" w14:textId="322CA9B7" w:rsidR="00264C3D" w:rsidRPr="00CD2263" w:rsidRDefault="00264C3D" w:rsidP="001B1DFE"/>
    <w:p w14:paraId="0ED70597" w14:textId="25B29F71" w:rsidR="00264C3D" w:rsidRPr="00CD2263" w:rsidRDefault="00264C3D" w:rsidP="00015F7B">
      <w:pPr>
        <w:pStyle w:val="ListNumber"/>
      </w:pPr>
      <w:r w:rsidRPr="00CD2263">
        <w:t>Income from investments</w:t>
      </w:r>
    </w:p>
    <w:tbl>
      <w:tblPr>
        <w:tblStyle w:val="PlainTable4"/>
        <w:tblW w:w="8525" w:type="dxa"/>
        <w:tblLook w:val="04A0" w:firstRow="1" w:lastRow="0" w:firstColumn="1" w:lastColumn="0" w:noHBand="0" w:noVBand="1"/>
      </w:tblPr>
      <w:tblGrid>
        <w:gridCol w:w="3965"/>
        <w:gridCol w:w="1145"/>
        <w:gridCol w:w="1139"/>
        <w:gridCol w:w="1138"/>
        <w:gridCol w:w="1138"/>
      </w:tblGrid>
      <w:tr w:rsidR="00264C3D" w:rsidRPr="00CD2263" w14:paraId="1310967B" w14:textId="77777777" w:rsidTr="00653A38">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69FE3C7B" w14:textId="77777777" w:rsidR="00264C3D" w:rsidRPr="00CD2263" w:rsidRDefault="00264C3D" w:rsidP="00330CA2">
            <w:pPr>
              <w:rPr>
                <w:sz w:val="16"/>
                <w:szCs w:val="16"/>
              </w:rPr>
            </w:pPr>
          </w:p>
          <w:p w14:paraId="59633796" w14:textId="77777777" w:rsidR="00264C3D" w:rsidRPr="00CD2263" w:rsidRDefault="00264C3D" w:rsidP="00330CA2">
            <w:pPr>
              <w:rPr>
                <w:b w:val="0"/>
                <w:bCs w:val="0"/>
                <w:sz w:val="16"/>
                <w:szCs w:val="16"/>
              </w:rPr>
            </w:pPr>
          </w:p>
        </w:tc>
        <w:tc>
          <w:tcPr>
            <w:tcW w:w="1145" w:type="dxa"/>
            <w:vAlign w:val="center"/>
          </w:tcPr>
          <w:p w14:paraId="4E586DD4"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Unrestricted</w:t>
            </w:r>
          </w:p>
          <w:p w14:paraId="317A2CEB"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w:t>
            </w:r>
          </w:p>
        </w:tc>
        <w:tc>
          <w:tcPr>
            <w:tcW w:w="1139" w:type="dxa"/>
            <w:vAlign w:val="center"/>
          </w:tcPr>
          <w:p w14:paraId="3719F11D"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Restricted</w:t>
            </w:r>
          </w:p>
          <w:p w14:paraId="7943B2C8"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w:t>
            </w:r>
          </w:p>
        </w:tc>
        <w:tc>
          <w:tcPr>
            <w:tcW w:w="1138" w:type="dxa"/>
            <w:vAlign w:val="center"/>
          </w:tcPr>
          <w:p w14:paraId="352EAD46"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pPr>
            <w:r w:rsidRPr="00CD2263">
              <w:t>2021</w:t>
            </w:r>
          </w:p>
          <w:p w14:paraId="5ABA31C4"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pPr>
            <w:r w:rsidRPr="00CD2263">
              <w:t>Total</w:t>
            </w:r>
          </w:p>
          <w:p w14:paraId="34141627"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pPr>
            <w:r w:rsidRPr="00CD2263">
              <w:t>£</w:t>
            </w:r>
          </w:p>
        </w:tc>
        <w:tc>
          <w:tcPr>
            <w:tcW w:w="1138" w:type="dxa"/>
            <w:vAlign w:val="center"/>
          </w:tcPr>
          <w:p w14:paraId="01A2A9DE"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2020</w:t>
            </w:r>
          </w:p>
          <w:p w14:paraId="585B5901"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Total</w:t>
            </w:r>
          </w:p>
          <w:p w14:paraId="43724D69" w14:textId="77777777" w:rsidR="00264C3D" w:rsidRPr="00CD2263" w:rsidRDefault="00264C3D" w:rsidP="00330CA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D2263">
              <w:rPr>
                <w:b w:val="0"/>
                <w:bCs w:val="0"/>
              </w:rPr>
              <w:t>£</w:t>
            </w:r>
          </w:p>
        </w:tc>
      </w:tr>
      <w:tr w:rsidR="00264C3D" w:rsidRPr="00CD2263" w14:paraId="2CF11E94" w14:textId="77777777" w:rsidTr="00653A3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7E699E48" w14:textId="25E27E31" w:rsidR="00264C3D" w:rsidRPr="00CD2263" w:rsidRDefault="00653A38" w:rsidP="00330CA2">
            <w:pPr>
              <w:pStyle w:val="TableParagraph"/>
              <w:rPr>
                <w:b w:val="0"/>
                <w:bCs w:val="0"/>
              </w:rPr>
            </w:pPr>
            <w:r w:rsidRPr="00CD2263">
              <w:rPr>
                <w:b w:val="0"/>
                <w:bCs w:val="0"/>
              </w:rPr>
              <w:t>Investments and dividends</w:t>
            </w:r>
          </w:p>
        </w:tc>
        <w:tc>
          <w:tcPr>
            <w:tcW w:w="1145" w:type="dxa"/>
            <w:vAlign w:val="center"/>
          </w:tcPr>
          <w:p w14:paraId="34EA39CD" w14:textId="6B88B7BC" w:rsidR="00264C3D" w:rsidRPr="00CD2263" w:rsidRDefault="00653A38" w:rsidP="00653A38">
            <w:pPr>
              <w:pStyle w:val="Default"/>
              <w:jc w:val="right"/>
              <w:cnfStyle w:val="000000100000" w:firstRow="0" w:lastRow="0" w:firstColumn="0" w:lastColumn="0" w:oddVBand="0" w:evenVBand="0" w:oddHBand="1" w:evenHBand="0" w:firstRowFirstColumn="0" w:firstRowLastColumn="0" w:lastRowFirstColumn="0" w:lastRowLastColumn="0"/>
              <w:rPr>
                <w:rFonts w:ascii="FS Albert" w:hAnsi="FS Albert"/>
                <w:sz w:val="19"/>
                <w:szCs w:val="19"/>
              </w:rPr>
            </w:pPr>
            <w:r w:rsidRPr="00CD2263">
              <w:rPr>
                <w:rFonts w:ascii="FS Albert" w:hAnsi="FS Albert"/>
                <w:sz w:val="19"/>
                <w:szCs w:val="19"/>
              </w:rPr>
              <w:t>50,429</w:t>
            </w:r>
          </w:p>
        </w:tc>
        <w:tc>
          <w:tcPr>
            <w:tcW w:w="1139" w:type="dxa"/>
            <w:vAlign w:val="center"/>
          </w:tcPr>
          <w:p w14:paraId="18B83AE0" w14:textId="518C14E0" w:rsidR="00264C3D" w:rsidRPr="00CD2263" w:rsidRDefault="00653A38" w:rsidP="00330CA2">
            <w:pPr>
              <w:pStyle w:val="TableParagraph"/>
              <w:jc w:val="right"/>
              <w:cnfStyle w:val="000000100000" w:firstRow="0" w:lastRow="0" w:firstColumn="0" w:lastColumn="0" w:oddVBand="0" w:evenVBand="0" w:oddHBand="1" w:evenHBand="0" w:firstRowFirstColumn="0" w:firstRowLastColumn="0" w:lastRowFirstColumn="0" w:lastRowLastColumn="0"/>
            </w:pPr>
            <w:r w:rsidRPr="00CD2263">
              <w:t>-</w:t>
            </w:r>
          </w:p>
        </w:tc>
        <w:tc>
          <w:tcPr>
            <w:tcW w:w="1138" w:type="dxa"/>
            <w:vAlign w:val="center"/>
          </w:tcPr>
          <w:p w14:paraId="6EB76F33" w14:textId="76FDA865" w:rsidR="00264C3D" w:rsidRPr="00CD2263" w:rsidRDefault="00653A38" w:rsidP="00653A38">
            <w:pPr>
              <w:pStyle w:val="Default"/>
              <w:jc w:val="right"/>
              <w:cnfStyle w:val="000000100000" w:firstRow="0" w:lastRow="0" w:firstColumn="0" w:lastColumn="0" w:oddVBand="0" w:evenVBand="0" w:oddHBand="1" w:evenHBand="0" w:firstRowFirstColumn="0" w:firstRowLastColumn="0" w:lastRowFirstColumn="0" w:lastRowLastColumn="0"/>
              <w:rPr>
                <w:rFonts w:ascii="FS Albert" w:hAnsi="FS Albert"/>
                <w:b/>
                <w:bCs/>
                <w:sz w:val="19"/>
                <w:szCs w:val="19"/>
              </w:rPr>
            </w:pPr>
            <w:r w:rsidRPr="00CD2263">
              <w:rPr>
                <w:rFonts w:ascii="FS Albert" w:hAnsi="FS Albert"/>
                <w:b/>
                <w:bCs/>
                <w:sz w:val="19"/>
                <w:szCs w:val="19"/>
              </w:rPr>
              <w:t>50,429</w:t>
            </w:r>
          </w:p>
        </w:tc>
        <w:tc>
          <w:tcPr>
            <w:tcW w:w="1138" w:type="dxa"/>
            <w:vAlign w:val="center"/>
          </w:tcPr>
          <w:p w14:paraId="0E31F0D7" w14:textId="7C3229B1" w:rsidR="00264C3D" w:rsidRPr="00CD2263" w:rsidRDefault="00653A38" w:rsidP="00653A38">
            <w:pPr>
              <w:pStyle w:val="Default"/>
              <w:jc w:val="right"/>
              <w:cnfStyle w:val="000000100000" w:firstRow="0" w:lastRow="0" w:firstColumn="0" w:lastColumn="0" w:oddVBand="0" w:evenVBand="0" w:oddHBand="1" w:evenHBand="0" w:firstRowFirstColumn="0" w:firstRowLastColumn="0" w:lastRowFirstColumn="0" w:lastRowLastColumn="0"/>
              <w:rPr>
                <w:rFonts w:ascii="FS Albert" w:hAnsi="FS Albert"/>
                <w:sz w:val="19"/>
                <w:szCs w:val="19"/>
              </w:rPr>
            </w:pPr>
            <w:r w:rsidRPr="00CD2263">
              <w:rPr>
                <w:rFonts w:ascii="FS Albert" w:hAnsi="FS Albert"/>
                <w:sz w:val="19"/>
                <w:szCs w:val="19"/>
              </w:rPr>
              <w:t>62,863</w:t>
            </w:r>
          </w:p>
        </w:tc>
      </w:tr>
      <w:tr w:rsidR="00264C3D" w:rsidRPr="00CD2263" w14:paraId="416ECFFA" w14:textId="77777777" w:rsidTr="00653A38">
        <w:trPr>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392EEFA1" w14:textId="0E8E676C" w:rsidR="00264C3D" w:rsidRPr="00CD2263" w:rsidRDefault="00264C3D" w:rsidP="00330CA2">
            <w:pPr>
              <w:pStyle w:val="TableParagraph"/>
              <w:rPr>
                <w:b w:val="0"/>
                <w:bCs w:val="0"/>
              </w:rPr>
            </w:pPr>
          </w:p>
        </w:tc>
        <w:tc>
          <w:tcPr>
            <w:tcW w:w="1145" w:type="dxa"/>
            <w:tcBorders>
              <w:bottom w:val="single" w:sz="4" w:space="0" w:color="auto"/>
            </w:tcBorders>
            <w:vAlign w:val="center"/>
          </w:tcPr>
          <w:p w14:paraId="58ABC17D" w14:textId="77777777" w:rsidR="00264C3D" w:rsidRPr="00CD2263" w:rsidRDefault="00264C3D" w:rsidP="00330CA2">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139" w:type="dxa"/>
            <w:tcBorders>
              <w:bottom w:val="single" w:sz="4" w:space="0" w:color="auto"/>
            </w:tcBorders>
            <w:vAlign w:val="center"/>
          </w:tcPr>
          <w:p w14:paraId="502AB59F" w14:textId="77777777" w:rsidR="00264C3D" w:rsidRPr="00CD2263" w:rsidRDefault="00264C3D" w:rsidP="00330CA2">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138" w:type="dxa"/>
            <w:tcBorders>
              <w:bottom w:val="single" w:sz="4" w:space="0" w:color="auto"/>
            </w:tcBorders>
            <w:vAlign w:val="center"/>
          </w:tcPr>
          <w:p w14:paraId="11866D1B" w14:textId="77777777" w:rsidR="00264C3D" w:rsidRPr="00CD2263" w:rsidRDefault="00264C3D" w:rsidP="00330CA2">
            <w:pPr>
              <w:pStyle w:val="TableParagraph"/>
              <w:jc w:val="right"/>
              <w:cnfStyle w:val="000000000000" w:firstRow="0" w:lastRow="0" w:firstColumn="0" w:lastColumn="0" w:oddVBand="0" w:evenVBand="0" w:oddHBand="0" w:evenHBand="0" w:firstRowFirstColumn="0" w:firstRowLastColumn="0" w:lastRowFirstColumn="0" w:lastRowLastColumn="0"/>
              <w:rPr>
                <w:b/>
                <w:bCs/>
              </w:rPr>
            </w:pPr>
          </w:p>
        </w:tc>
        <w:tc>
          <w:tcPr>
            <w:tcW w:w="1138" w:type="dxa"/>
            <w:tcBorders>
              <w:bottom w:val="single" w:sz="4" w:space="0" w:color="auto"/>
            </w:tcBorders>
            <w:vAlign w:val="center"/>
          </w:tcPr>
          <w:p w14:paraId="6D145E34" w14:textId="77777777" w:rsidR="00264C3D" w:rsidRPr="00CD2263" w:rsidRDefault="00264C3D" w:rsidP="00330CA2">
            <w:pPr>
              <w:pStyle w:val="TableParagraph"/>
              <w:jc w:val="right"/>
              <w:cnfStyle w:val="000000000000" w:firstRow="0" w:lastRow="0" w:firstColumn="0" w:lastColumn="0" w:oddVBand="0" w:evenVBand="0" w:oddHBand="0" w:evenHBand="0" w:firstRowFirstColumn="0" w:firstRowLastColumn="0" w:lastRowFirstColumn="0" w:lastRowLastColumn="0"/>
            </w:pPr>
          </w:p>
        </w:tc>
      </w:tr>
      <w:tr w:rsidR="00264C3D" w:rsidRPr="00CD2263" w14:paraId="5B969239" w14:textId="77777777" w:rsidTr="00653A3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65" w:type="dxa"/>
            <w:vAlign w:val="center"/>
          </w:tcPr>
          <w:p w14:paraId="532D70A0" w14:textId="3D76B870" w:rsidR="00264C3D" w:rsidRPr="00CD2263" w:rsidRDefault="00264C3D" w:rsidP="00330CA2">
            <w:pPr>
              <w:pStyle w:val="TableParagraph"/>
              <w:rPr>
                <w:b w:val="0"/>
                <w:bCs w:val="0"/>
              </w:rPr>
            </w:pPr>
          </w:p>
        </w:tc>
        <w:tc>
          <w:tcPr>
            <w:tcW w:w="1145" w:type="dxa"/>
            <w:tcBorders>
              <w:top w:val="single" w:sz="4" w:space="0" w:color="auto"/>
              <w:bottom w:val="double" w:sz="4" w:space="0" w:color="auto"/>
            </w:tcBorders>
            <w:vAlign w:val="center"/>
          </w:tcPr>
          <w:p w14:paraId="11469CEB" w14:textId="7D0FF3F7" w:rsidR="00264C3D" w:rsidRPr="00CD2263" w:rsidRDefault="00653A38" w:rsidP="00653A38">
            <w:pPr>
              <w:pStyle w:val="Default"/>
              <w:jc w:val="right"/>
              <w:cnfStyle w:val="000000100000" w:firstRow="0" w:lastRow="0" w:firstColumn="0" w:lastColumn="0" w:oddVBand="0" w:evenVBand="0" w:oddHBand="1" w:evenHBand="0" w:firstRowFirstColumn="0" w:firstRowLastColumn="0" w:lastRowFirstColumn="0" w:lastRowLastColumn="0"/>
              <w:rPr>
                <w:rFonts w:ascii="FS Albert" w:hAnsi="FS Albert"/>
                <w:sz w:val="19"/>
                <w:szCs w:val="19"/>
              </w:rPr>
            </w:pPr>
            <w:r w:rsidRPr="00CD2263">
              <w:rPr>
                <w:rFonts w:ascii="FS Albert" w:hAnsi="FS Albert"/>
                <w:sz w:val="19"/>
                <w:szCs w:val="19"/>
              </w:rPr>
              <w:t>50,429</w:t>
            </w:r>
          </w:p>
        </w:tc>
        <w:tc>
          <w:tcPr>
            <w:tcW w:w="1139" w:type="dxa"/>
            <w:tcBorders>
              <w:top w:val="single" w:sz="4" w:space="0" w:color="auto"/>
              <w:bottom w:val="double" w:sz="4" w:space="0" w:color="auto"/>
            </w:tcBorders>
            <w:vAlign w:val="center"/>
          </w:tcPr>
          <w:p w14:paraId="5CFEA156" w14:textId="0609B523" w:rsidR="00264C3D" w:rsidRPr="00CD2263" w:rsidRDefault="00653A38" w:rsidP="00330CA2">
            <w:pPr>
              <w:pStyle w:val="TableParagraph"/>
              <w:jc w:val="right"/>
              <w:cnfStyle w:val="000000100000" w:firstRow="0" w:lastRow="0" w:firstColumn="0" w:lastColumn="0" w:oddVBand="0" w:evenVBand="0" w:oddHBand="1" w:evenHBand="0" w:firstRowFirstColumn="0" w:firstRowLastColumn="0" w:lastRowFirstColumn="0" w:lastRowLastColumn="0"/>
            </w:pPr>
            <w:r w:rsidRPr="00CD2263">
              <w:t>-</w:t>
            </w:r>
          </w:p>
        </w:tc>
        <w:tc>
          <w:tcPr>
            <w:tcW w:w="1138" w:type="dxa"/>
            <w:tcBorders>
              <w:top w:val="single" w:sz="4" w:space="0" w:color="auto"/>
              <w:bottom w:val="double" w:sz="4" w:space="0" w:color="auto"/>
            </w:tcBorders>
            <w:vAlign w:val="center"/>
          </w:tcPr>
          <w:p w14:paraId="2F804266" w14:textId="680F4696" w:rsidR="00264C3D" w:rsidRPr="00CD2263" w:rsidRDefault="00653A38" w:rsidP="00653A38">
            <w:pPr>
              <w:pStyle w:val="Default"/>
              <w:jc w:val="right"/>
              <w:cnfStyle w:val="000000100000" w:firstRow="0" w:lastRow="0" w:firstColumn="0" w:lastColumn="0" w:oddVBand="0" w:evenVBand="0" w:oddHBand="1" w:evenHBand="0" w:firstRowFirstColumn="0" w:firstRowLastColumn="0" w:lastRowFirstColumn="0" w:lastRowLastColumn="0"/>
              <w:rPr>
                <w:rFonts w:ascii="FS Albert" w:hAnsi="FS Albert"/>
                <w:b/>
                <w:bCs/>
                <w:sz w:val="19"/>
                <w:szCs w:val="19"/>
              </w:rPr>
            </w:pPr>
            <w:r w:rsidRPr="00CD2263">
              <w:rPr>
                <w:rFonts w:ascii="FS Albert" w:hAnsi="FS Albert"/>
                <w:b/>
                <w:bCs/>
                <w:sz w:val="19"/>
                <w:szCs w:val="19"/>
              </w:rPr>
              <w:t>50,429</w:t>
            </w:r>
          </w:p>
        </w:tc>
        <w:tc>
          <w:tcPr>
            <w:tcW w:w="1138" w:type="dxa"/>
            <w:tcBorders>
              <w:top w:val="single" w:sz="4" w:space="0" w:color="auto"/>
              <w:bottom w:val="double" w:sz="4" w:space="0" w:color="auto"/>
            </w:tcBorders>
            <w:vAlign w:val="center"/>
          </w:tcPr>
          <w:p w14:paraId="66801AF2" w14:textId="2D13CC13" w:rsidR="00264C3D" w:rsidRPr="00CD2263" w:rsidRDefault="00653A38" w:rsidP="00653A38">
            <w:pPr>
              <w:pStyle w:val="Default"/>
              <w:jc w:val="right"/>
              <w:cnfStyle w:val="000000100000" w:firstRow="0" w:lastRow="0" w:firstColumn="0" w:lastColumn="0" w:oddVBand="0" w:evenVBand="0" w:oddHBand="1" w:evenHBand="0" w:firstRowFirstColumn="0" w:firstRowLastColumn="0" w:lastRowFirstColumn="0" w:lastRowLastColumn="0"/>
              <w:rPr>
                <w:rFonts w:ascii="FS Albert" w:hAnsi="FS Albert"/>
                <w:sz w:val="19"/>
                <w:szCs w:val="19"/>
              </w:rPr>
            </w:pPr>
            <w:r w:rsidRPr="00CD2263">
              <w:rPr>
                <w:rFonts w:ascii="FS Albert" w:hAnsi="FS Albert"/>
                <w:sz w:val="19"/>
                <w:szCs w:val="19"/>
              </w:rPr>
              <w:t>62,863</w:t>
            </w:r>
          </w:p>
        </w:tc>
      </w:tr>
    </w:tbl>
    <w:p w14:paraId="7677A89E" w14:textId="5773DC6E" w:rsidR="00264C3D" w:rsidRPr="00CD2263" w:rsidRDefault="00264C3D" w:rsidP="001B1DFE"/>
    <w:p w14:paraId="12DC49AC" w14:textId="2802F991" w:rsidR="00264C3D" w:rsidRPr="00CD2263" w:rsidRDefault="00264C3D" w:rsidP="001B1DFE"/>
    <w:p w14:paraId="152CFE5A" w14:textId="7A2691E4" w:rsidR="00264C3D" w:rsidRPr="00CD2263" w:rsidRDefault="00264C3D" w:rsidP="001B1DFE"/>
    <w:p w14:paraId="53745F32" w14:textId="77777777" w:rsidR="00264C3D" w:rsidRDefault="00264C3D">
      <w:pPr>
        <w:widowControl/>
        <w:autoSpaceDE/>
        <w:autoSpaceDN/>
        <w:rPr>
          <w:b/>
          <w:sz w:val="28"/>
        </w:rPr>
      </w:pPr>
      <w:r>
        <w:br w:type="page"/>
      </w:r>
    </w:p>
    <w:p w14:paraId="2EF02B04" w14:textId="0F2E5673" w:rsidR="00752321" w:rsidRDefault="00264C3D" w:rsidP="00752321">
      <w:pPr>
        <w:pStyle w:val="ListNumber"/>
      </w:pPr>
      <w:r>
        <w:lastRenderedPageBreak/>
        <w:t>a. Analysis of expenditure 2021</w:t>
      </w:r>
    </w:p>
    <w:tbl>
      <w:tblPr>
        <w:tblStyle w:val="PlainTable4"/>
        <w:tblW w:w="9070" w:type="dxa"/>
        <w:tblLayout w:type="fixed"/>
        <w:tblCellMar>
          <w:top w:w="28" w:type="dxa"/>
          <w:left w:w="57" w:type="dxa"/>
          <w:bottom w:w="28" w:type="dxa"/>
          <w:right w:w="57" w:type="dxa"/>
        </w:tblCellMar>
        <w:tblLook w:val="04A0" w:firstRow="1" w:lastRow="0" w:firstColumn="1" w:lastColumn="0" w:noHBand="0" w:noVBand="1"/>
      </w:tblPr>
      <w:tblGrid>
        <w:gridCol w:w="2608"/>
        <w:gridCol w:w="1077"/>
        <w:gridCol w:w="1077"/>
        <w:gridCol w:w="1077"/>
        <w:gridCol w:w="1077"/>
        <w:gridCol w:w="1077"/>
        <w:gridCol w:w="1077"/>
      </w:tblGrid>
      <w:tr w:rsidR="00752321" w:rsidRPr="00653A38" w14:paraId="1DE8D58E" w14:textId="77777777" w:rsidTr="0075232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08" w:type="dxa"/>
            <w:noWrap/>
            <w:vAlign w:val="bottom"/>
          </w:tcPr>
          <w:p w14:paraId="011BCEEE" w14:textId="77777777" w:rsidR="00752321" w:rsidRPr="00653A38" w:rsidRDefault="00752321" w:rsidP="00752321">
            <w:pPr>
              <w:widowControl/>
              <w:autoSpaceDE/>
              <w:autoSpaceDN/>
              <w:rPr>
                <w:rFonts w:eastAsia="Times New Roman" w:cs="Times New Roman"/>
                <w:sz w:val="18"/>
                <w:szCs w:val="18"/>
                <w:lang w:eastAsia="en-GB"/>
              </w:rPr>
            </w:pPr>
          </w:p>
        </w:tc>
        <w:tc>
          <w:tcPr>
            <w:tcW w:w="2154" w:type="dxa"/>
            <w:gridSpan w:val="2"/>
            <w:vAlign w:val="bottom"/>
          </w:tcPr>
          <w:p w14:paraId="404A9D92" w14:textId="2A38397A" w:rsidR="00752321" w:rsidRPr="00653A38" w:rsidRDefault="00752321" w:rsidP="00752321">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eastAsia="Times New Roman" w:cs="Calibri"/>
                <w:sz w:val="18"/>
                <w:szCs w:val="18"/>
                <w:lang w:eastAsia="en-GB"/>
              </w:rPr>
              <w:t>Raising funds</w:t>
            </w:r>
          </w:p>
        </w:tc>
        <w:tc>
          <w:tcPr>
            <w:tcW w:w="1077" w:type="dxa"/>
            <w:vAlign w:val="bottom"/>
          </w:tcPr>
          <w:p w14:paraId="098BB768" w14:textId="77777777" w:rsidR="00752321" w:rsidRPr="00653A38" w:rsidRDefault="00752321" w:rsidP="00752321">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vAlign w:val="bottom"/>
          </w:tcPr>
          <w:p w14:paraId="5007C5FB" w14:textId="77777777" w:rsidR="00752321" w:rsidRPr="00653A38" w:rsidRDefault="00752321" w:rsidP="00752321">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vAlign w:val="bottom"/>
          </w:tcPr>
          <w:p w14:paraId="554306AC" w14:textId="77777777" w:rsidR="00752321" w:rsidRPr="00653A38" w:rsidRDefault="00752321" w:rsidP="00752321">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vAlign w:val="bottom"/>
          </w:tcPr>
          <w:p w14:paraId="0763E22F" w14:textId="77777777" w:rsidR="00752321" w:rsidRPr="00653A38" w:rsidRDefault="00752321" w:rsidP="00752321">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p>
        </w:tc>
      </w:tr>
      <w:tr w:rsidR="00752321" w:rsidRPr="00653A38" w14:paraId="48F99FC7" w14:textId="77777777" w:rsidTr="00752321">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338AD815" w14:textId="77777777" w:rsidR="00653A38" w:rsidRPr="00653A38" w:rsidRDefault="00653A38" w:rsidP="00752321">
            <w:pPr>
              <w:widowControl/>
              <w:autoSpaceDE/>
              <w:autoSpaceDN/>
              <w:rPr>
                <w:rFonts w:eastAsia="Times New Roman" w:cs="Times New Roman"/>
                <w:sz w:val="18"/>
                <w:szCs w:val="18"/>
                <w:lang w:eastAsia="en-GB"/>
              </w:rPr>
            </w:pPr>
          </w:p>
        </w:tc>
        <w:tc>
          <w:tcPr>
            <w:tcW w:w="1077" w:type="dxa"/>
            <w:vAlign w:val="bottom"/>
            <w:hideMark/>
          </w:tcPr>
          <w:p w14:paraId="7A657561" w14:textId="77777777" w:rsidR="00653A38" w:rsidRPr="00752321"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Fundraising costs</w:t>
            </w:r>
          </w:p>
          <w:p w14:paraId="6E306BB3" w14:textId="2154F9BC"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3A47EEFB" w14:textId="77777777" w:rsidR="00653A38" w:rsidRPr="00752321"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Trading</w:t>
            </w:r>
          </w:p>
          <w:p w14:paraId="768F7975" w14:textId="74A7DA96"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657B537B" w14:textId="77777777" w:rsidR="00653A38" w:rsidRPr="00752321"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Charitable activities</w:t>
            </w:r>
          </w:p>
          <w:p w14:paraId="47397CC6" w14:textId="15CB4DD1"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2D6423A8" w14:textId="77777777" w:rsidR="00653A38" w:rsidRPr="00752321"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Support costs</w:t>
            </w:r>
          </w:p>
          <w:p w14:paraId="2B117858" w14:textId="75B8ACC9"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75B9F50A" w14:textId="77777777" w:rsidR="00653A38" w:rsidRPr="00752321"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Governance costs</w:t>
            </w:r>
          </w:p>
          <w:p w14:paraId="58427F7D" w14:textId="79FA7A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3CF04A02" w14:textId="77777777" w:rsidR="00653A38" w:rsidRPr="00752321"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2021 total</w:t>
            </w:r>
          </w:p>
          <w:p w14:paraId="4E12F97A" w14:textId="69540232"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752321">
              <w:rPr>
                <w:rFonts w:eastAsia="Times New Roman" w:cs="Calibri"/>
                <w:b/>
                <w:bCs/>
                <w:sz w:val="18"/>
                <w:szCs w:val="18"/>
                <w:lang w:eastAsia="en-GB"/>
              </w:rPr>
              <w:t>£</w:t>
            </w:r>
          </w:p>
        </w:tc>
      </w:tr>
      <w:tr w:rsidR="00752321" w:rsidRPr="00653A38" w14:paraId="151C2609" w14:textId="77777777" w:rsidTr="00752321">
        <w:trPr>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6EEABF5B" w14:textId="77777777" w:rsidR="00653A38" w:rsidRPr="00653A38" w:rsidRDefault="00653A38"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Grants to individual charities (Note 7)</w:t>
            </w:r>
          </w:p>
        </w:tc>
        <w:tc>
          <w:tcPr>
            <w:tcW w:w="1077" w:type="dxa"/>
            <w:noWrap/>
            <w:vAlign w:val="center"/>
            <w:hideMark/>
          </w:tcPr>
          <w:p w14:paraId="4D51D535"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149A2B5D"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7ED75272"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296,153</w:t>
            </w:r>
          </w:p>
        </w:tc>
        <w:tc>
          <w:tcPr>
            <w:tcW w:w="1077" w:type="dxa"/>
            <w:noWrap/>
            <w:vAlign w:val="center"/>
            <w:hideMark/>
          </w:tcPr>
          <w:p w14:paraId="259EE69E" w14:textId="5D870103"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w:t>
            </w:r>
          </w:p>
        </w:tc>
        <w:tc>
          <w:tcPr>
            <w:tcW w:w="1077" w:type="dxa"/>
            <w:noWrap/>
            <w:vAlign w:val="center"/>
            <w:hideMark/>
          </w:tcPr>
          <w:p w14:paraId="5C0200A1" w14:textId="1F3EA848"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w:t>
            </w:r>
          </w:p>
        </w:tc>
        <w:tc>
          <w:tcPr>
            <w:tcW w:w="1077" w:type="dxa"/>
            <w:noWrap/>
            <w:vAlign w:val="center"/>
            <w:hideMark/>
          </w:tcPr>
          <w:p w14:paraId="310482D6"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296,153</w:t>
            </w:r>
          </w:p>
        </w:tc>
      </w:tr>
      <w:tr w:rsidR="00752321" w:rsidRPr="00653A38" w14:paraId="58D11403" w14:textId="77777777" w:rsidTr="0075232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73EBD606" w14:textId="77777777" w:rsidR="00653A38" w:rsidRPr="00653A38" w:rsidRDefault="00653A38"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Research, Campaigning &amp; Advocacy</w:t>
            </w:r>
          </w:p>
        </w:tc>
        <w:tc>
          <w:tcPr>
            <w:tcW w:w="1077" w:type="dxa"/>
            <w:noWrap/>
            <w:vAlign w:val="center"/>
            <w:hideMark/>
          </w:tcPr>
          <w:p w14:paraId="46AF40CD"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14F62747"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35572289"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21,352</w:t>
            </w:r>
          </w:p>
        </w:tc>
        <w:tc>
          <w:tcPr>
            <w:tcW w:w="1077" w:type="dxa"/>
            <w:noWrap/>
            <w:vAlign w:val="center"/>
            <w:hideMark/>
          </w:tcPr>
          <w:p w14:paraId="7F8FB16F"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   </w:t>
            </w:r>
          </w:p>
        </w:tc>
        <w:tc>
          <w:tcPr>
            <w:tcW w:w="1077" w:type="dxa"/>
            <w:noWrap/>
            <w:vAlign w:val="center"/>
            <w:hideMark/>
          </w:tcPr>
          <w:p w14:paraId="4696E6FC"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   </w:t>
            </w:r>
          </w:p>
        </w:tc>
        <w:tc>
          <w:tcPr>
            <w:tcW w:w="1077" w:type="dxa"/>
            <w:noWrap/>
            <w:vAlign w:val="center"/>
            <w:hideMark/>
          </w:tcPr>
          <w:p w14:paraId="6E8E0134"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21,352</w:t>
            </w:r>
          </w:p>
        </w:tc>
      </w:tr>
      <w:tr w:rsidR="00752321" w:rsidRPr="00653A38" w14:paraId="43C6EFEF" w14:textId="77777777" w:rsidTr="00752321">
        <w:trPr>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67F9951F" w14:textId="77777777" w:rsidR="00653A38" w:rsidRPr="00653A38" w:rsidRDefault="00653A38"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Staff costs (Note 9)</w:t>
            </w:r>
          </w:p>
        </w:tc>
        <w:tc>
          <w:tcPr>
            <w:tcW w:w="1077" w:type="dxa"/>
            <w:noWrap/>
            <w:vAlign w:val="center"/>
            <w:hideMark/>
          </w:tcPr>
          <w:p w14:paraId="1FC0379F"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330,248</w:t>
            </w:r>
          </w:p>
        </w:tc>
        <w:tc>
          <w:tcPr>
            <w:tcW w:w="1077" w:type="dxa"/>
            <w:noWrap/>
            <w:vAlign w:val="center"/>
            <w:hideMark/>
          </w:tcPr>
          <w:p w14:paraId="44555F89"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502,573</w:t>
            </w:r>
          </w:p>
        </w:tc>
        <w:tc>
          <w:tcPr>
            <w:tcW w:w="1077" w:type="dxa"/>
            <w:noWrap/>
            <w:vAlign w:val="center"/>
            <w:hideMark/>
          </w:tcPr>
          <w:p w14:paraId="7C6FE856"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222,736</w:t>
            </w:r>
          </w:p>
        </w:tc>
        <w:tc>
          <w:tcPr>
            <w:tcW w:w="1077" w:type="dxa"/>
            <w:noWrap/>
            <w:vAlign w:val="center"/>
            <w:hideMark/>
          </w:tcPr>
          <w:p w14:paraId="35BE41C4" w14:textId="52AFA6F8"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199,842 </w:t>
            </w:r>
          </w:p>
        </w:tc>
        <w:tc>
          <w:tcPr>
            <w:tcW w:w="1077" w:type="dxa"/>
            <w:noWrap/>
            <w:vAlign w:val="center"/>
            <w:hideMark/>
          </w:tcPr>
          <w:p w14:paraId="5EEDC39C" w14:textId="37A55A53"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w:t>
            </w:r>
          </w:p>
        </w:tc>
        <w:tc>
          <w:tcPr>
            <w:tcW w:w="1077" w:type="dxa"/>
            <w:noWrap/>
            <w:vAlign w:val="center"/>
            <w:hideMark/>
          </w:tcPr>
          <w:p w14:paraId="6722F968"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1,255,398</w:t>
            </w:r>
          </w:p>
        </w:tc>
      </w:tr>
      <w:tr w:rsidR="00752321" w:rsidRPr="00653A38" w14:paraId="42A91663" w14:textId="77777777" w:rsidTr="0075232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41EF85E8" w14:textId="77777777" w:rsidR="00653A38" w:rsidRPr="00653A38" w:rsidRDefault="00653A38"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General fundraising</w:t>
            </w:r>
          </w:p>
        </w:tc>
        <w:tc>
          <w:tcPr>
            <w:tcW w:w="1077" w:type="dxa"/>
            <w:noWrap/>
            <w:vAlign w:val="center"/>
            <w:hideMark/>
          </w:tcPr>
          <w:p w14:paraId="60BC3952"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135,519</w:t>
            </w:r>
          </w:p>
        </w:tc>
        <w:tc>
          <w:tcPr>
            <w:tcW w:w="1077" w:type="dxa"/>
            <w:noWrap/>
            <w:vAlign w:val="center"/>
            <w:hideMark/>
          </w:tcPr>
          <w:p w14:paraId="23C5D714"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568CFED6"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35B7D9F9"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   </w:t>
            </w:r>
          </w:p>
        </w:tc>
        <w:tc>
          <w:tcPr>
            <w:tcW w:w="1077" w:type="dxa"/>
            <w:noWrap/>
            <w:vAlign w:val="center"/>
            <w:hideMark/>
          </w:tcPr>
          <w:p w14:paraId="6931E704"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   </w:t>
            </w:r>
          </w:p>
        </w:tc>
        <w:tc>
          <w:tcPr>
            <w:tcW w:w="1077" w:type="dxa"/>
            <w:noWrap/>
            <w:vAlign w:val="center"/>
            <w:hideMark/>
          </w:tcPr>
          <w:p w14:paraId="3C2716F9"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135,519</w:t>
            </w:r>
          </w:p>
        </w:tc>
      </w:tr>
      <w:tr w:rsidR="00752321" w:rsidRPr="00653A38" w14:paraId="5BBF31C6" w14:textId="77777777" w:rsidTr="00752321">
        <w:trPr>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6BCCBC30" w14:textId="77777777" w:rsidR="00653A38" w:rsidRPr="00653A38" w:rsidRDefault="00653A38"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 xml:space="preserve">Rents, </w:t>
            </w:r>
            <w:proofErr w:type="gramStart"/>
            <w:r w:rsidRPr="00653A38">
              <w:rPr>
                <w:rFonts w:eastAsia="Times New Roman" w:cs="Calibri"/>
                <w:b w:val="0"/>
                <w:bCs w:val="0"/>
                <w:sz w:val="18"/>
                <w:szCs w:val="18"/>
                <w:lang w:eastAsia="en-GB"/>
              </w:rPr>
              <w:t>rates</w:t>
            </w:r>
            <w:proofErr w:type="gramEnd"/>
            <w:r w:rsidRPr="00653A38">
              <w:rPr>
                <w:rFonts w:eastAsia="Times New Roman" w:cs="Calibri"/>
                <w:b w:val="0"/>
                <w:bCs w:val="0"/>
                <w:sz w:val="18"/>
                <w:szCs w:val="18"/>
                <w:lang w:eastAsia="en-GB"/>
              </w:rPr>
              <w:t xml:space="preserve"> and office costs</w:t>
            </w:r>
          </w:p>
        </w:tc>
        <w:tc>
          <w:tcPr>
            <w:tcW w:w="1077" w:type="dxa"/>
            <w:noWrap/>
            <w:vAlign w:val="center"/>
            <w:hideMark/>
          </w:tcPr>
          <w:p w14:paraId="7D5B84C5"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839</w:t>
            </w:r>
          </w:p>
        </w:tc>
        <w:tc>
          <w:tcPr>
            <w:tcW w:w="1077" w:type="dxa"/>
            <w:noWrap/>
            <w:vAlign w:val="center"/>
            <w:hideMark/>
          </w:tcPr>
          <w:p w14:paraId="424A70A8"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226,093</w:t>
            </w:r>
          </w:p>
        </w:tc>
        <w:tc>
          <w:tcPr>
            <w:tcW w:w="1077" w:type="dxa"/>
            <w:noWrap/>
            <w:vAlign w:val="center"/>
            <w:hideMark/>
          </w:tcPr>
          <w:p w14:paraId="2D6C018A"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659</w:t>
            </w:r>
          </w:p>
        </w:tc>
        <w:tc>
          <w:tcPr>
            <w:tcW w:w="1077" w:type="dxa"/>
            <w:noWrap/>
            <w:vAlign w:val="center"/>
            <w:hideMark/>
          </w:tcPr>
          <w:p w14:paraId="141F6B36" w14:textId="3DE1FFA9"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375,413 </w:t>
            </w:r>
          </w:p>
        </w:tc>
        <w:tc>
          <w:tcPr>
            <w:tcW w:w="1077" w:type="dxa"/>
            <w:noWrap/>
            <w:vAlign w:val="center"/>
            <w:hideMark/>
          </w:tcPr>
          <w:p w14:paraId="1460BD34" w14:textId="2219CBE4"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w:t>
            </w:r>
          </w:p>
        </w:tc>
        <w:tc>
          <w:tcPr>
            <w:tcW w:w="1077" w:type="dxa"/>
            <w:noWrap/>
            <w:vAlign w:val="center"/>
            <w:hideMark/>
          </w:tcPr>
          <w:p w14:paraId="6B594BD6"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603,004</w:t>
            </w:r>
          </w:p>
        </w:tc>
      </w:tr>
      <w:tr w:rsidR="00752321" w:rsidRPr="00653A38" w14:paraId="428A4348" w14:textId="77777777" w:rsidTr="0075232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0E55B76" w14:textId="77777777" w:rsidR="00653A38" w:rsidRPr="00653A38" w:rsidRDefault="00653A38"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 xml:space="preserve">Audit and accountancy fees </w:t>
            </w:r>
          </w:p>
        </w:tc>
        <w:tc>
          <w:tcPr>
            <w:tcW w:w="1077" w:type="dxa"/>
            <w:noWrap/>
            <w:vAlign w:val="center"/>
            <w:hideMark/>
          </w:tcPr>
          <w:p w14:paraId="39E0F5DE"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23DBBB56"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27383F67"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77AF2ADD"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   </w:t>
            </w:r>
          </w:p>
        </w:tc>
        <w:tc>
          <w:tcPr>
            <w:tcW w:w="1077" w:type="dxa"/>
            <w:noWrap/>
            <w:vAlign w:val="center"/>
            <w:hideMark/>
          </w:tcPr>
          <w:p w14:paraId="160C5E05"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13,520 </w:t>
            </w:r>
          </w:p>
        </w:tc>
        <w:tc>
          <w:tcPr>
            <w:tcW w:w="1077" w:type="dxa"/>
            <w:noWrap/>
            <w:vAlign w:val="center"/>
            <w:hideMark/>
          </w:tcPr>
          <w:p w14:paraId="7FFDB15D"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13,520</w:t>
            </w:r>
          </w:p>
        </w:tc>
      </w:tr>
      <w:tr w:rsidR="00752321" w:rsidRPr="00653A38" w14:paraId="20CC360B" w14:textId="77777777" w:rsidTr="00875C94">
        <w:trPr>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4D43FCCB" w14:textId="77777777" w:rsidR="00653A38" w:rsidRPr="00653A38" w:rsidRDefault="00653A38"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Governance and legal costs</w:t>
            </w:r>
          </w:p>
        </w:tc>
        <w:tc>
          <w:tcPr>
            <w:tcW w:w="1077" w:type="dxa"/>
            <w:noWrap/>
            <w:vAlign w:val="center"/>
            <w:hideMark/>
          </w:tcPr>
          <w:p w14:paraId="465DCF77"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754502BC"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17D2BF02"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w:t>
            </w:r>
          </w:p>
        </w:tc>
        <w:tc>
          <w:tcPr>
            <w:tcW w:w="1077" w:type="dxa"/>
            <w:noWrap/>
            <w:vAlign w:val="center"/>
            <w:hideMark/>
          </w:tcPr>
          <w:p w14:paraId="2A7F0599" w14:textId="394F26CE" w:rsidR="00653A38" w:rsidRPr="00653A38" w:rsidRDefault="00653A38" w:rsidP="00752321">
            <w:pPr>
              <w:widowControl/>
              <w:autoSpaceDE/>
              <w:autoSpaceDN/>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115,502 </w:t>
            </w:r>
          </w:p>
        </w:tc>
        <w:tc>
          <w:tcPr>
            <w:tcW w:w="1077" w:type="dxa"/>
            <w:noWrap/>
            <w:vAlign w:val="center"/>
            <w:hideMark/>
          </w:tcPr>
          <w:p w14:paraId="660680E4" w14:textId="2C907B96"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39,968 </w:t>
            </w:r>
          </w:p>
        </w:tc>
        <w:tc>
          <w:tcPr>
            <w:tcW w:w="1077" w:type="dxa"/>
            <w:noWrap/>
            <w:vAlign w:val="center"/>
            <w:hideMark/>
          </w:tcPr>
          <w:p w14:paraId="61C01400"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155,470</w:t>
            </w:r>
          </w:p>
        </w:tc>
      </w:tr>
      <w:tr w:rsidR="00752321" w:rsidRPr="00653A38" w14:paraId="199E5458" w14:textId="77777777" w:rsidTr="00875C94">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5420901" w14:textId="77777777" w:rsidR="00653A38" w:rsidRPr="00653A38" w:rsidRDefault="00653A38"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Other costs</w:t>
            </w:r>
          </w:p>
        </w:tc>
        <w:tc>
          <w:tcPr>
            <w:tcW w:w="1077" w:type="dxa"/>
            <w:tcBorders>
              <w:bottom w:val="single" w:sz="4" w:space="0" w:color="auto"/>
            </w:tcBorders>
            <w:noWrap/>
            <w:vAlign w:val="center"/>
            <w:hideMark/>
          </w:tcPr>
          <w:p w14:paraId="46F7FA4B"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13,215</w:t>
            </w:r>
          </w:p>
        </w:tc>
        <w:tc>
          <w:tcPr>
            <w:tcW w:w="1077" w:type="dxa"/>
            <w:tcBorders>
              <w:bottom w:val="single" w:sz="4" w:space="0" w:color="auto"/>
            </w:tcBorders>
            <w:noWrap/>
            <w:vAlign w:val="center"/>
            <w:hideMark/>
          </w:tcPr>
          <w:p w14:paraId="5865E3D4"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62,658</w:t>
            </w:r>
          </w:p>
        </w:tc>
        <w:tc>
          <w:tcPr>
            <w:tcW w:w="1077" w:type="dxa"/>
            <w:tcBorders>
              <w:bottom w:val="single" w:sz="4" w:space="0" w:color="auto"/>
            </w:tcBorders>
            <w:noWrap/>
            <w:vAlign w:val="center"/>
            <w:hideMark/>
          </w:tcPr>
          <w:p w14:paraId="172B2735"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2,446</w:t>
            </w:r>
          </w:p>
        </w:tc>
        <w:tc>
          <w:tcPr>
            <w:tcW w:w="1077" w:type="dxa"/>
            <w:tcBorders>
              <w:bottom w:val="single" w:sz="4" w:space="0" w:color="auto"/>
            </w:tcBorders>
            <w:noWrap/>
            <w:vAlign w:val="center"/>
            <w:hideMark/>
          </w:tcPr>
          <w:p w14:paraId="2A508C37" w14:textId="0FA4897B" w:rsidR="00653A38" w:rsidRPr="00653A38" w:rsidRDefault="00653A38" w:rsidP="00752321">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73,837 </w:t>
            </w:r>
          </w:p>
        </w:tc>
        <w:tc>
          <w:tcPr>
            <w:tcW w:w="1077" w:type="dxa"/>
            <w:tcBorders>
              <w:bottom w:val="single" w:sz="4" w:space="0" w:color="auto"/>
            </w:tcBorders>
            <w:noWrap/>
            <w:vAlign w:val="center"/>
            <w:hideMark/>
          </w:tcPr>
          <w:p w14:paraId="6F1FEA14" w14:textId="107EF265"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w:t>
            </w:r>
          </w:p>
        </w:tc>
        <w:tc>
          <w:tcPr>
            <w:tcW w:w="1077" w:type="dxa"/>
            <w:tcBorders>
              <w:bottom w:val="single" w:sz="4" w:space="0" w:color="auto"/>
            </w:tcBorders>
            <w:noWrap/>
            <w:vAlign w:val="center"/>
            <w:hideMark/>
          </w:tcPr>
          <w:p w14:paraId="30D940F9"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152,156</w:t>
            </w:r>
          </w:p>
        </w:tc>
      </w:tr>
      <w:tr w:rsidR="00752321" w:rsidRPr="00653A38" w14:paraId="38B52750" w14:textId="77777777" w:rsidTr="00875C94">
        <w:trPr>
          <w:trHeight w:val="16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6A167D2C" w14:textId="77777777" w:rsidR="00653A38" w:rsidRPr="00653A38" w:rsidRDefault="00653A38" w:rsidP="00752321">
            <w:pPr>
              <w:widowControl/>
              <w:autoSpaceDE/>
              <w:autoSpaceDN/>
              <w:rPr>
                <w:rFonts w:eastAsia="Times New Roman" w:cs="Calibri"/>
                <w:b w:val="0"/>
                <w:bCs w:val="0"/>
                <w:sz w:val="18"/>
                <w:szCs w:val="18"/>
                <w:lang w:eastAsia="en-GB"/>
              </w:rPr>
            </w:pPr>
          </w:p>
        </w:tc>
        <w:tc>
          <w:tcPr>
            <w:tcW w:w="1077" w:type="dxa"/>
            <w:tcBorders>
              <w:top w:val="single" w:sz="4" w:space="0" w:color="auto"/>
            </w:tcBorders>
            <w:noWrap/>
            <w:vAlign w:val="center"/>
            <w:hideMark/>
          </w:tcPr>
          <w:p w14:paraId="7F9CE3AC"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19B479BA"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315E2944"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3A4F6EC4"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14592C46"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079D4D8F" w14:textId="77777777" w:rsidR="00653A38" w:rsidRPr="00653A38" w:rsidRDefault="00653A38"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 </w:t>
            </w:r>
          </w:p>
        </w:tc>
      </w:tr>
      <w:tr w:rsidR="00752321" w:rsidRPr="00653A38" w14:paraId="289BC959" w14:textId="77777777" w:rsidTr="00875C9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12DBD913" w14:textId="77777777" w:rsidR="00653A38" w:rsidRPr="00653A38" w:rsidRDefault="00653A38" w:rsidP="00752321">
            <w:pPr>
              <w:widowControl/>
              <w:autoSpaceDE/>
              <w:autoSpaceDN/>
              <w:rPr>
                <w:rFonts w:eastAsia="Times New Roman" w:cs="Times New Roman"/>
                <w:b w:val="0"/>
                <w:bCs w:val="0"/>
                <w:sz w:val="18"/>
                <w:szCs w:val="18"/>
                <w:lang w:eastAsia="en-GB"/>
              </w:rPr>
            </w:pPr>
          </w:p>
        </w:tc>
        <w:tc>
          <w:tcPr>
            <w:tcW w:w="1077" w:type="dxa"/>
            <w:noWrap/>
            <w:vAlign w:val="center"/>
            <w:hideMark/>
          </w:tcPr>
          <w:p w14:paraId="45D11B96"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479,821</w:t>
            </w:r>
          </w:p>
        </w:tc>
        <w:tc>
          <w:tcPr>
            <w:tcW w:w="1077" w:type="dxa"/>
            <w:noWrap/>
            <w:vAlign w:val="center"/>
            <w:hideMark/>
          </w:tcPr>
          <w:p w14:paraId="0F2D86E7"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791,324</w:t>
            </w:r>
          </w:p>
        </w:tc>
        <w:tc>
          <w:tcPr>
            <w:tcW w:w="1077" w:type="dxa"/>
            <w:noWrap/>
            <w:vAlign w:val="center"/>
            <w:hideMark/>
          </w:tcPr>
          <w:p w14:paraId="0509AB53"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543,346</w:t>
            </w:r>
          </w:p>
        </w:tc>
        <w:tc>
          <w:tcPr>
            <w:tcW w:w="1077" w:type="dxa"/>
            <w:noWrap/>
            <w:vAlign w:val="center"/>
            <w:hideMark/>
          </w:tcPr>
          <w:p w14:paraId="593E03F4"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764,593</w:t>
            </w:r>
          </w:p>
        </w:tc>
        <w:tc>
          <w:tcPr>
            <w:tcW w:w="1077" w:type="dxa"/>
            <w:noWrap/>
            <w:vAlign w:val="center"/>
            <w:hideMark/>
          </w:tcPr>
          <w:p w14:paraId="3B2A9E67" w14:textId="77777777"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53,488</w:t>
            </w:r>
          </w:p>
        </w:tc>
        <w:tc>
          <w:tcPr>
            <w:tcW w:w="1077" w:type="dxa"/>
            <w:vAlign w:val="center"/>
            <w:hideMark/>
          </w:tcPr>
          <w:p w14:paraId="73BCAF3E" w14:textId="684F7FEE" w:rsidR="00653A38" w:rsidRPr="00653A38" w:rsidRDefault="00653A38"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 xml:space="preserve">2,632,572 </w:t>
            </w:r>
          </w:p>
        </w:tc>
      </w:tr>
      <w:tr w:rsidR="00752321" w:rsidRPr="00653A38" w14:paraId="67FC5D85" w14:textId="77777777" w:rsidTr="00752321">
        <w:trPr>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6730BD9C" w14:textId="77777777" w:rsidR="00752321" w:rsidRPr="00653A38" w:rsidRDefault="00752321" w:rsidP="00752321">
            <w:pPr>
              <w:widowControl/>
              <w:autoSpaceDE/>
              <w:autoSpaceDN/>
              <w:rPr>
                <w:rFonts w:eastAsia="Times New Roman" w:cs="Calibri"/>
                <w:b w:val="0"/>
                <w:bCs w:val="0"/>
                <w:sz w:val="18"/>
                <w:szCs w:val="18"/>
                <w:lang w:eastAsia="en-GB"/>
              </w:rPr>
            </w:pPr>
          </w:p>
        </w:tc>
        <w:tc>
          <w:tcPr>
            <w:tcW w:w="1077" w:type="dxa"/>
            <w:noWrap/>
            <w:vAlign w:val="center"/>
          </w:tcPr>
          <w:p w14:paraId="53E70920"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6155E957"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37E58AD8"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7C0C4AF2"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7EA414E1"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77C1FC63"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p>
        </w:tc>
      </w:tr>
      <w:tr w:rsidR="00752321" w:rsidRPr="00653A38" w14:paraId="54DEA217" w14:textId="77777777" w:rsidTr="0075232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4AFCC8E7" w14:textId="77777777" w:rsidR="00752321" w:rsidRPr="00653A38" w:rsidRDefault="00752321"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Support costs</w:t>
            </w:r>
          </w:p>
        </w:tc>
        <w:tc>
          <w:tcPr>
            <w:tcW w:w="1077" w:type="dxa"/>
            <w:noWrap/>
            <w:vAlign w:val="center"/>
            <w:hideMark/>
          </w:tcPr>
          <w:p w14:paraId="3EF10A20"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254,839</w:t>
            </w:r>
          </w:p>
        </w:tc>
        <w:tc>
          <w:tcPr>
            <w:tcW w:w="1077" w:type="dxa"/>
            <w:noWrap/>
            <w:vAlign w:val="center"/>
            <w:hideMark/>
          </w:tcPr>
          <w:p w14:paraId="618C35B9"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221,176</w:t>
            </w:r>
          </w:p>
        </w:tc>
        <w:tc>
          <w:tcPr>
            <w:tcW w:w="1077" w:type="dxa"/>
            <w:noWrap/>
            <w:vAlign w:val="center"/>
            <w:hideMark/>
          </w:tcPr>
          <w:p w14:paraId="281BD0C3"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288,578</w:t>
            </w:r>
          </w:p>
        </w:tc>
        <w:tc>
          <w:tcPr>
            <w:tcW w:w="1077" w:type="dxa"/>
            <w:noWrap/>
            <w:vAlign w:val="center"/>
            <w:hideMark/>
          </w:tcPr>
          <w:p w14:paraId="691B1D16"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(764,593)</w:t>
            </w:r>
          </w:p>
        </w:tc>
        <w:tc>
          <w:tcPr>
            <w:tcW w:w="1077" w:type="dxa"/>
            <w:noWrap/>
            <w:vAlign w:val="center"/>
            <w:hideMark/>
          </w:tcPr>
          <w:p w14:paraId="5037C815" w14:textId="77777777" w:rsidR="00752321" w:rsidRPr="00653A38" w:rsidRDefault="00752321" w:rsidP="00752321">
            <w:pPr>
              <w:widowControl/>
              <w:autoSpaceDE/>
              <w:autoSpaceDN/>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p>
        </w:tc>
        <w:tc>
          <w:tcPr>
            <w:tcW w:w="1077" w:type="dxa"/>
            <w:noWrap/>
            <w:vAlign w:val="center"/>
            <w:hideMark/>
          </w:tcPr>
          <w:p w14:paraId="323C7844"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w:t>
            </w:r>
          </w:p>
        </w:tc>
      </w:tr>
      <w:tr w:rsidR="00752321" w:rsidRPr="00653A38" w14:paraId="4F09B1AF" w14:textId="77777777" w:rsidTr="00752321">
        <w:trPr>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7BFD40F1" w14:textId="77777777" w:rsidR="00752321" w:rsidRPr="00653A38" w:rsidRDefault="00752321" w:rsidP="00752321">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Governance costs</w:t>
            </w:r>
          </w:p>
        </w:tc>
        <w:tc>
          <w:tcPr>
            <w:tcW w:w="1077" w:type="dxa"/>
            <w:noWrap/>
            <w:vAlign w:val="center"/>
            <w:hideMark/>
          </w:tcPr>
          <w:p w14:paraId="564A1F2C"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10,456</w:t>
            </w:r>
          </w:p>
        </w:tc>
        <w:tc>
          <w:tcPr>
            <w:tcW w:w="1077" w:type="dxa"/>
            <w:noWrap/>
            <w:vAlign w:val="center"/>
            <w:hideMark/>
          </w:tcPr>
          <w:p w14:paraId="70315C23"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31,191</w:t>
            </w:r>
          </w:p>
        </w:tc>
        <w:tc>
          <w:tcPr>
            <w:tcW w:w="1077" w:type="dxa"/>
            <w:noWrap/>
            <w:vAlign w:val="center"/>
            <w:hideMark/>
          </w:tcPr>
          <w:p w14:paraId="51221195"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11,841</w:t>
            </w:r>
          </w:p>
        </w:tc>
        <w:tc>
          <w:tcPr>
            <w:tcW w:w="1077" w:type="dxa"/>
            <w:noWrap/>
            <w:vAlign w:val="center"/>
            <w:hideMark/>
          </w:tcPr>
          <w:p w14:paraId="3C0FE9F1"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077" w:type="dxa"/>
            <w:noWrap/>
            <w:vAlign w:val="center"/>
            <w:hideMark/>
          </w:tcPr>
          <w:p w14:paraId="498EA54E"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(53,488)</w:t>
            </w:r>
          </w:p>
        </w:tc>
        <w:tc>
          <w:tcPr>
            <w:tcW w:w="1077" w:type="dxa"/>
            <w:noWrap/>
            <w:vAlign w:val="center"/>
            <w:hideMark/>
          </w:tcPr>
          <w:p w14:paraId="459A6461"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w:t>
            </w:r>
          </w:p>
        </w:tc>
      </w:tr>
      <w:tr w:rsidR="00752321" w:rsidRPr="00653A38" w14:paraId="3C9FB877" w14:textId="77777777" w:rsidTr="00752321">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3EE24C82" w14:textId="77777777" w:rsidR="00752321" w:rsidRPr="00653A38" w:rsidRDefault="00752321" w:rsidP="00752321">
            <w:pPr>
              <w:widowControl/>
              <w:autoSpaceDE/>
              <w:autoSpaceDN/>
              <w:rPr>
                <w:rFonts w:eastAsia="Times New Roman" w:cs="Calibri"/>
                <w:sz w:val="18"/>
                <w:szCs w:val="18"/>
                <w:lang w:eastAsia="en-GB"/>
              </w:rPr>
            </w:pPr>
          </w:p>
        </w:tc>
        <w:tc>
          <w:tcPr>
            <w:tcW w:w="1077" w:type="dxa"/>
            <w:tcBorders>
              <w:bottom w:val="single" w:sz="4" w:space="0" w:color="auto"/>
            </w:tcBorders>
            <w:noWrap/>
            <w:vAlign w:val="center"/>
            <w:hideMark/>
          </w:tcPr>
          <w:p w14:paraId="682D4B3C"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62B64852"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7FF7D505"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569A2C2E"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739DC676"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7D54E345" w14:textId="77777777" w:rsidR="00752321" w:rsidRPr="00653A38" w:rsidRDefault="00752321" w:rsidP="00752321">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r>
      <w:tr w:rsidR="00752321" w:rsidRPr="00653A38" w14:paraId="1A599E96" w14:textId="77777777" w:rsidTr="00752321">
        <w:trPr>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5674845F" w14:textId="77777777" w:rsidR="00752321" w:rsidRPr="00653A38" w:rsidRDefault="00752321" w:rsidP="00752321">
            <w:pPr>
              <w:widowControl/>
              <w:autoSpaceDE/>
              <w:autoSpaceDN/>
              <w:rPr>
                <w:rFonts w:eastAsia="Times New Roman" w:cs="Calibri"/>
                <w:sz w:val="18"/>
                <w:szCs w:val="18"/>
                <w:lang w:eastAsia="en-GB"/>
              </w:rPr>
            </w:pPr>
            <w:r w:rsidRPr="00653A38">
              <w:rPr>
                <w:rFonts w:eastAsia="Times New Roman" w:cs="Calibri"/>
                <w:sz w:val="18"/>
                <w:szCs w:val="18"/>
                <w:lang w:eastAsia="en-GB"/>
              </w:rPr>
              <w:t>Total expenditure 2021</w:t>
            </w:r>
          </w:p>
        </w:tc>
        <w:tc>
          <w:tcPr>
            <w:tcW w:w="1077" w:type="dxa"/>
            <w:tcBorders>
              <w:top w:val="single" w:sz="4" w:space="0" w:color="auto"/>
              <w:bottom w:val="double" w:sz="4" w:space="0" w:color="auto"/>
            </w:tcBorders>
            <w:noWrap/>
            <w:vAlign w:val="center"/>
            <w:hideMark/>
          </w:tcPr>
          <w:p w14:paraId="5D91FFF1"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745,116</w:t>
            </w:r>
          </w:p>
        </w:tc>
        <w:tc>
          <w:tcPr>
            <w:tcW w:w="1077" w:type="dxa"/>
            <w:tcBorders>
              <w:top w:val="single" w:sz="4" w:space="0" w:color="auto"/>
              <w:bottom w:val="double" w:sz="4" w:space="0" w:color="auto"/>
            </w:tcBorders>
            <w:noWrap/>
            <w:vAlign w:val="center"/>
            <w:hideMark/>
          </w:tcPr>
          <w:p w14:paraId="4470891C"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1,043,691</w:t>
            </w:r>
          </w:p>
        </w:tc>
        <w:tc>
          <w:tcPr>
            <w:tcW w:w="1077" w:type="dxa"/>
            <w:tcBorders>
              <w:top w:val="single" w:sz="4" w:space="0" w:color="auto"/>
              <w:bottom w:val="double" w:sz="4" w:space="0" w:color="auto"/>
            </w:tcBorders>
            <w:noWrap/>
            <w:vAlign w:val="center"/>
            <w:hideMark/>
          </w:tcPr>
          <w:p w14:paraId="0061D372"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843,765</w:t>
            </w:r>
          </w:p>
        </w:tc>
        <w:tc>
          <w:tcPr>
            <w:tcW w:w="1077" w:type="dxa"/>
            <w:tcBorders>
              <w:top w:val="single" w:sz="4" w:space="0" w:color="auto"/>
              <w:bottom w:val="double" w:sz="4" w:space="0" w:color="auto"/>
            </w:tcBorders>
            <w:noWrap/>
            <w:vAlign w:val="center"/>
            <w:hideMark/>
          </w:tcPr>
          <w:p w14:paraId="557C9606"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w:t>
            </w:r>
          </w:p>
        </w:tc>
        <w:tc>
          <w:tcPr>
            <w:tcW w:w="1077" w:type="dxa"/>
            <w:tcBorders>
              <w:top w:val="single" w:sz="4" w:space="0" w:color="auto"/>
              <w:bottom w:val="double" w:sz="4" w:space="0" w:color="auto"/>
            </w:tcBorders>
            <w:noWrap/>
            <w:vAlign w:val="center"/>
            <w:hideMark/>
          </w:tcPr>
          <w:p w14:paraId="279445BD"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w:t>
            </w:r>
          </w:p>
        </w:tc>
        <w:tc>
          <w:tcPr>
            <w:tcW w:w="1077" w:type="dxa"/>
            <w:tcBorders>
              <w:top w:val="single" w:sz="4" w:space="0" w:color="auto"/>
              <w:bottom w:val="double" w:sz="4" w:space="0" w:color="auto"/>
            </w:tcBorders>
            <w:noWrap/>
            <w:vAlign w:val="center"/>
            <w:hideMark/>
          </w:tcPr>
          <w:p w14:paraId="18128A8A" w14:textId="77777777" w:rsidR="00752321" w:rsidRPr="00653A38" w:rsidRDefault="00752321" w:rsidP="00752321">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2,632,572</w:t>
            </w:r>
          </w:p>
        </w:tc>
      </w:tr>
    </w:tbl>
    <w:p w14:paraId="161FF766" w14:textId="77777777" w:rsidR="006C0F03" w:rsidRDefault="006C0F03" w:rsidP="001B1DFE"/>
    <w:p w14:paraId="7D75177B" w14:textId="3A0AAC72" w:rsidR="00264C3D" w:rsidRPr="008E2E1D" w:rsidRDefault="00653A38" w:rsidP="00752321">
      <w:pPr>
        <w:pStyle w:val="ListNumber"/>
        <w:numPr>
          <w:ilvl w:val="0"/>
          <w:numId w:val="0"/>
        </w:numPr>
      </w:pPr>
      <w:r w:rsidRPr="008E2E1D">
        <w:rPr>
          <w:rFonts w:ascii="Calibri" w:eastAsia="Galano Classic" w:hAnsi="Calibri" w:cs="Calibri"/>
          <w:szCs w:val="24"/>
        </w:rPr>
        <w:t>5.</w:t>
      </w:r>
      <w:r w:rsidRPr="008E2E1D">
        <w:t xml:space="preserve">  b.  Analysis of expenditure 2020</w:t>
      </w:r>
    </w:p>
    <w:tbl>
      <w:tblPr>
        <w:tblStyle w:val="PlainTable4"/>
        <w:tblW w:w="9070" w:type="dxa"/>
        <w:tblLayout w:type="fixed"/>
        <w:tblCellMar>
          <w:top w:w="28" w:type="dxa"/>
          <w:left w:w="57" w:type="dxa"/>
          <w:bottom w:w="28" w:type="dxa"/>
          <w:right w:w="57" w:type="dxa"/>
        </w:tblCellMar>
        <w:tblLook w:val="04A0" w:firstRow="1" w:lastRow="0" w:firstColumn="1" w:lastColumn="0" w:noHBand="0" w:noVBand="1"/>
      </w:tblPr>
      <w:tblGrid>
        <w:gridCol w:w="2608"/>
        <w:gridCol w:w="1077"/>
        <w:gridCol w:w="1077"/>
        <w:gridCol w:w="1077"/>
        <w:gridCol w:w="1077"/>
        <w:gridCol w:w="1077"/>
        <w:gridCol w:w="1077"/>
      </w:tblGrid>
      <w:tr w:rsidR="00752321" w:rsidRPr="00653A38" w14:paraId="6DD34996" w14:textId="77777777" w:rsidTr="00EB324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08" w:type="dxa"/>
            <w:noWrap/>
            <w:vAlign w:val="bottom"/>
          </w:tcPr>
          <w:p w14:paraId="11CED0F5" w14:textId="77777777" w:rsidR="00752321" w:rsidRPr="00653A38" w:rsidRDefault="00752321" w:rsidP="00EB3246">
            <w:pPr>
              <w:widowControl/>
              <w:autoSpaceDE/>
              <w:autoSpaceDN/>
              <w:rPr>
                <w:rFonts w:eastAsia="Times New Roman" w:cs="Times New Roman"/>
                <w:sz w:val="18"/>
                <w:szCs w:val="18"/>
                <w:lang w:eastAsia="en-GB"/>
              </w:rPr>
            </w:pPr>
          </w:p>
        </w:tc>
        <w:tc>
          <w:tcPr>
            <w:tcW w:w="2154" w:type="dxa"/>
            <w:gridSpan w:val="2"/>
            <w:vAlign w:val="bottom"/>
          </w:tcPr>
          <w:p w14:paraId="4633051F" w14:textId="77777777" w:rsidR="00752321" w:rsidRPr="00653A38" w:rsidRDefault="00752321" w:rsidP="00EB3246">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eastAsia="Times New Roman" w:cs="Calibri"/>
                <w:sz w:val="18"/>
                <w:szCs w:val="18"/>
                <w:lang w:eastAsia="en-GB"/>
              </w:rPr>
              <w:t>Raising funds</w:t>
            </w:r>
          </w:p>
        </w:tc>
        <w:tc>
          <w:tcPr>
            <w:tcW w:w="1077" w:type="dxa"/>
            <w:vAlign w:val="bottom"/>
          </w:tcPr>
          <w:p w14:paraId="2E583FFE" w14:textId="77777777" w:rsidR="00752321" w:rsidRPr="00653A38" w:rsidRDefault="00752321" w:rsidP="00EB324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vAlign w:val="bottom"/>
          </w:tcPr>
          <w:p w14:paraId="0A9BC2ED" w14:textId="77777777" w:rsidR="00752321" w:rsidRPr="00653A38" w:rsidRDefault="00752321"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vAlign w:val="bottom"/>
          </w:tcPr>
          <w:p w14:paraId="1491B4CC" w14:textId="77777777" w:rsidR="00752321" w:rsidRPr="00653A38" w:rsidRDefault="00752321"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vAlign w:val="bottom"/>
          </w:tcPr>
          <w:p w14:paraId="34D1C084" w14:textId="77777777" w:rsidR="00752321" w:rsidRPr="00653A38" w:rsidRDefault="00752321"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p>
        </w:tc>
      </w:tr>
      <w:tr w:rsidR="00752321" w:rsidRPr="00653A38" w14:paraId="5E06B87B" w14:textId="77777777" w:rsidTr="00EB3246">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5DBB0430" w14:textId="77777777" w:rsidR="00752321" w:rsidRPr="00653A38" w:rsidRDefault="00752321" w:rsidP="00EB3246">
            <w:pPr>
              <w:widowControl/>
              <w:autoSpaceDE/>
              <w:autoSpaceDN/>
              <w:rPr>
                <w:rFonts w:eastAsia="Times New Roman" w:cs="Times New Roman"/>
                <w:sz w:val="18"/>
                <w:szCs w:val="18"/>
                <w:lang w:eastAsia="en-GB"/>
              </w:rPr>
            </w:pPr>
          </w:p>
        </w:tc>
        <w:tc>
          <w:tcPr>
            <w:tcW w:w="1077" w:type="dxa"/>
            <w:vAlign w:val="bottom"/>
            <w:hideMark/>
          </w:tcPr>
          <w:p w14:paraId="6A9C99A6" w14:textId="77777777" w:rsidR="00752321" w:rsidRPr="00752321"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Fundraising costs</w:t>
            </w:r>
          </w:p>
          <w:p w14:paraId="14BF6AF2" w14:textId="77777777" w:rsidR="00752321" w:rsidRPr="00653A38"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0E768023" w14:textId="77777777" w:rsidR="00752321" w:rsidRPr="00752321"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Trading</w:t>
            </w:r>
          </w:p>
          <w:p w14:paraId="731E775C" w14:textId="77777777" w:rsidR="00752321" w:rsidRPr="00653A38"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72D5EA8C" w14:textId="77777777" w:rsidR="00752321" w:rsidRPr="00752321"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Charitable activities</w:t>
            </w:r>
          </w:p>
          <w:p w14:paraId="1393ECE1" w14:textId="77777777" w:rsidR="00752321" w:rsidRPr="00653A38"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2CF33C7F" w14:textId="77777777" w:rsidR="00752321" w:rsidRPr="00752321"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Support costs</w:t>
            </w:r>
          </w:p>
          <w:p w14:paraId="0A6495ED" w14:textId="77777777" w:rsidR="00752321" w:rsidRPr="00653A38"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4FD86B01" w14:textId="77777777" w:rsidR="00752321" w:rsidRPr="00752321"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Governance costs</w:t>
            </w:r>
          </w:p>
          <w:p w14:paraId="3C8DF143" w14:textId="77777777" w:rsidR="00752321" w:rsidRPr="00653A38"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2321">
              <w:rPr>
                <w:rFonts w:eastAsia="Times New Roman" w:cs="Calibri"/>
                <w:sz w:val="18"/>
                <w:szCs w:val="18"/>
                <w:lang w:eastAsia="en-GB"/>
              </w:rPr>
              <w:t>£</w:t>
            </w:r>
          </w:p>
        </w:tc>
        <w:tc>
          <w:tcPr>
            <w:tcW w:w="1077" w:type="dxa"/>
            <w:vAlign w:val="bottom"/>
            <w:hideMark/>
          </w:tcPr>
          <w:p w14:paraId="2C6D6065" w14:textId="5860A788" w:rsidR="00752321" w:rsidRPr="00752321"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653A38">
              <w:rPr>
                <w:rFonts w:eastAsia="Times New Roman" w:cs="Calibri"/>
                <w:b/>
                <w:bCs/>
                <w:sz w:val="18"/>
                <w:szCs w:val="18"/>
                <w:lang w:eastAsia="en-GB"/>
              </w:rPr>
              <w:t>202</w:t>
            </w:r>
            <w:r w:rsidR="008E2E1D">
              <w:rPr>
                <w:rFonts w:eastAsia="Times New Roman" w:cs="Calibri"/>
                <w:b/>
                <w:bCs/>
                <w:sz w:val="18"/>
                <w:szCs w:val="18"/>
                <w:lang w:eastAsia="en-GB"/>
              </w:rPr>
              <w:t>0</w:t>
            </w:r>
            <w:r w:rsidRPr="00653A38">
              <w:rPr>
                <w:rFonts w:eastAsia="Times New Roman" w:cs="Calibri"/>
                <w:b/>
                <w:bCs/>
                <w:sz w:val="18"/>
                <w:szCs w:val="18"/>
                <w:lang w:eastAsia="en-GB"/>
              </w:rPr>
              <w:t xml:space="preserve"> total</w:t>
            </w:r>
          </w:p>
          <w:p w14:paraId="7B17E059" w14:textId="77777777" w:rsidR="00752321" w:rsidRPr="00653A38" w:rsidRDefault="00752321"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752321">
              <w:rPr>
                <w:rFonts w:eastAsia="Times New Roman" w:cs="Calibri"/>
                <w:b/>
                <w:bCs/>
                <w:sz w:val="18"/>
                <w:szCs w:val="18"/>
                <w:lang w:eastAsia="en-GB"/>
              </w:rPr>
              <w:t>£</w:t>
            </w:r>
          </w:p>
        </w:tc>
      </w:tr>
      <w:tr w:rsidR="00015F7B" w:rsidRPr="00653A38" w14:paraId="0B672C41" w14:textId="77777777" w:rsidTr="00015F7B">
        <w:trPr>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42E03427" w14:textId="72F97D54" w:rsidR="00015F7B" w:rsidRPr="00653A38" w:rsidRDefault="00015F7B" w:rsidP="00015F7B">
            <w:pPr>
              <w:widowControl/>
              <w:autoSpaceDE/>
              <w:autoSpaceDN/>
              <w:rPr>
                <w:rFonts w:eastAsia="Times New Roman" w:cs="Calibri"/>
                <w:b w:val="0"/>
                <w:bCs w:val="0"/>
                <w:sz w:val="18"/>
                <w:szCs w:val="18"/>
                <w:lang w:eastAsia="en-GB"/>
              </w:rPr>
            </w:pPr>
            <w:r w:rsidRPr="00015F7B">
              <w:rPr>
                <w:rFonts w:ascii="Calibri" w:hAnsi="Calibri" w:cs="Calibri"/>
                <w:b w:val="0"/>
                <w:bCs w:val="0"/>
                <w:sz w:val="20"/>
                <w:szCs w:val="20"/>
              </w:rPr>
              <w:t>Distribution to member societies (Note 6)</w:t>
            </w:r>
          </w:p>
        </w:tc>
        <w:tc>
          <w:tcPr>
            <w:tcW w:w="1077" w:type="dxa"/>
            <w:noWrap/>
            <w:vAlign w:val="center"/>
            <w:hideMark/>
          </w:tcPr>
          <w:p w14:paraId="2E3DA478" w14:textId="4EC7E441"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0DDB6371" w14:textId="294F5359"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3482A358" w14:textId="45B4741D"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1,192,788</w:t>
            </w:r>
          </w:p>
        </w:tc>
        <w:tc>
          <w:tcPr>
            <w:tcW w:w="1077" w:type="dxa"/>
            <w:noWrap/>
            <w:vAlign w:val="center"/>
            <w:hideMark/>
          </w:tcPr>
          <w:p w14:paraId="12C130C7" w14:textId="612B9531"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1878F28D"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xml:space="preserve">-   </w:t>
            </w:r>
          </w:p>
        </w:tc>
        <w:tc>
          <w:tcPr>
            <w:tcW w:w="1077" w:type="dxa"/>
            <w:noWrap/>
            <w:vAlign w:val="center"/>
            <w:hideMark/>
          </w:tcPr>
          <w:p w14:paraId="72FDBDCC" w14:textId="777D400B"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1,192,788</w:t>
            </w:r>
          </w:p>
        </w:tc>
      </w:tr>
      <w:tr w:rsidR="00015F7B" w:rsidRPr="00653A38" w14:paraId="78017E37" w14:textId="77777777" w:rsidTr="00015F7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101977E2" w14:textId="7726A725" w:rsidR="00015F7B" w:rsidRPr="00653A38" w:rsidRDefault="00015F7B" w:rsidP="00015F7B">
            <w:pPr>
              <w:widowControl/>
              <w:autoSpaceDE/>
              <w:autoSpaceDN/>
              <w:rPr>
                <w:rFonts w:eastAsia="Times New Roman" w:cs="Calibri"/>
                <w:b w:val="0"/>
                <w:bCs w:val="0"/>
                <w:sz w:val="18"/>
                <w:szCs w:val="18"/>
                <w:lang w:eastAsia="en-GB"/>
              </w:rPr>
            </w:pPr>
            <w:r w:rsidRPr="00015F7B">
              <w:rPr>
                <w:rFonts w:ascii="Calibri" w:hAnsi="Calibri" w:cs="Calibri"/>
                <w:b w:val="0"/>
                <w:bCs w:val="0"/>
                <w:sz w:val="20"/>
                <w:szCs w:val="20"/>
              </w:rPr>
              <w:t>Grants to individual charities (Note 7)</w:t>
            </w:r>
          </w:p>
        </w:tc>
        <w:tc>
          <w:tcPr>
            <w:tcW w:w="1077" w:type="dxa"/>
            <w:noWrap/>
            <w:vAlign w:val="center"/>
            <w:hideMark/>
          </w:tcPr>
          <w:p w14:paraId="3C18CA68" w14:textId="551A68CC"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1E19BF31" w14:textId="3E8EBAF9"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5CC8723F" w14:textId="7FBD1FA9"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371,772</w:t>
            </w:r>
          </w:p>
        </w:tc>
        <w:tc>
          <w:tcPr>
            <w:tcW w:w="1077" w:type="dxa"/>
            <w:noWrap/>
            <w:vAlign w:val="center"/>
            <w:hideMark/>
          </w:tcPr>
          <w:p w14:paraId="10D3C49D" w14:textId="60075DBA"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272A79D4" w14:textId="7B449A48"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239075BC" w14:textId="24B08F24"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371,772</w:t>
            </w:r>
          </w:p>
        </w:tc>
      </w:tr>
      <w:tr w:rsidR="00015F7B" w:rsidRPr="00653A38" w14:paraId="601E51EC" w14:textId="77777777" w:rsidTr="00015F7B">
        <w:trPr>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6C540AC6" w14:textId="5D98F2C2" w:rsidR="00015F7B" w:rsidRPr="00653A38" w:rsidRDefault="00015F7B" w:rsidP="00015F7B">
            <w:pPr>
              <w:widowControl/>
              <w:autoSpaceDE/>
              <w:autoSpaceDN/>
              <w:rPr>
                <w:rFonts w:eastAsia="Times New Roman" w:cs="Calibri"/>
                <w:b w:val="0"/>
                <w:bCs w:val="0"/>
                <w:sz w:val="18"/>
                <w:szCs w:val="18"/>
                <w:lang w:eastAsia="en-GB"/>
              </w:rPr>
            </w:pPr>
            <w:r w:rsidRPr="00015F7B">
              <w:rPr>
                <w:rFonts w:ascii="Calibri" w:hAnsi="Calibri" w:cs="Calibri"/>
                <w:b w:val="0"/>
                <w:bCs w:val="0"/>
                <w:sz w:val="20"/>
                <w:szCs w:val="20"/>
              </w:rPr>
              <w:t>Staff costs (Note 9)</w:t>
            </w:r>
          </w:p>
        </w:tc>
        <w:tc>
          <w:tcPr>
            <w:tcW w:w="1077" w:type="dxa"/>
            <w:noWrap/>
            <w:vAlign w:val="center"/>
            <w:hideMark/>
          </w:tcPr>
          <w:p w14:paraId="6F2E4570" w14:textId="55CCB265"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264,964</w:t>
            </w:r>
          </w:p>
        </w:tc>
        <w:tc>
          <w:tcPr>
            <w:tcW w:w="1077" w:type="dxa"/>
            <w:noWrap/>
            <w:vAlign w:val="center"/>
            <w:hideMark/>
          </w:tcPr>
          <w:p w14:paraId="5D2ACF19" w14:textId="328ABA4C"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485,959</w:t>
            </w:r>
          </w:p>
        </w:tc>
        <w:tc>
          <w:tcPr>
            <w:tcW w:w="1077" w:type="dxa"/>
            <w:noWrap/>
            <w:vAlign w:val="center"/>
            <w:hideMark/>
          </w:tcPr>
          <w:p w14:paraId="4E57E433" w14:textId="3682A928"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178,705</w:t>
            </w:r>
          </w:p>
        </w:tc>
        <w:tc>
          <w:tcPr>
            <w:tcW w:w="1077" w:type="dxa"/>
            <w:noWrap/>
            <w:vAlign w:val="center"/>
            <w:hideMark/>
          </w:tcPr>
          <w:p w14:paraId="1CDA4482" w14:textId="15A39C1D"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160,337 </w:t>
            </w:r>
          </w:p>
        </w:tc>
        <w:tc>
          <w:tcPr>
            <w:tcW w:w="1077" w:type="dxa"/>
            <w:noWrap/>
            <w:vAlign w:val="center"/>
            <w:hideMark/>
          </w:tcPr>
          <w:p w14:paraId="7C82E9BE" w14:textId="04A9A5A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454E18E8" w14:textId="7A94AB74"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1,089,966</w:t>
            </w:r>
          </w:p>
        </w:tc>
      </w:tr>
      <w:tr w:rsidR="00015F7B" w:rsidRPr="00653A38" w14:paraId="573DD13E" w14:textId="77777777" w:rsidTr="00015F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0639BC2E" w14:textId="2A6EB854" w:rsidR="00015F7B" w:rsidRPr="00653A38" w:rsidRDefault="00015F7B" w:rsidP="00015F7B">
            <w:pPr>
              <w:widowControl/>
              <w:autoSpaceDE/>
              <w:autoSpaceDN/>
              <w:rPr>
                <w:rFonts w:eastAsia="Times New Roman" w:cs="Calibri"/>
                <w:b w:val="0"/>
                <w:bCs w:val="0"/>
                <w:sz w:val="18"/>
                <w:szCs w:val="18"/>
                <w:lang w:eastAsia="en-GB"/>
              </w:rPr>
            </w:pPr>
            <w:r w:rsidRPr="00015F7B">
              <w:rPr>
                <w:rFonts w:ascii="Calibri" w:hAnsi="Calibri" w:cs="Calibri"/>
                <w:b w:val="0"/>
                <w:bCs w:val="0"/>
                <w:sz w:val="20"/>
                <w:szCs w:val="20"/>
              </w:rPr>
              <w:t>General fundraising</w:t>
            </w:r>
          </w:p>
        </w:tc>
        <w:tc>
          <w:tcPr>
            <w:tcW w:w="1077" w:type="dxa"/>
            <w:noWrap/>
            <w:vAlign w:val="center"/>
            <w:hideMark/>
          </w:tcPr>
          <w:p w14:paraId="6FF4E455" w14:textId="6839F10A"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128,671</w:t>
            </w:r>
          </w:p>
        </w:tc>
        <w:tc>
          <w:tcPr>
            <w:tcW w:w="1077" w:type="dxa"/>
            <w:noWrap/>
            <w:vAlign w:val="center"/>
            <w:hideMark/>
          </w:tcPr>
          <w:p w14:paraId="20E896DA" w14:textId="6D4C3408"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15EFFA58" w14:textId="13FDFE1D"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3263D0F2" w14:textId="40A8BB75"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63 </w:t>
            </w:r>
          </w:p>
        </w:tc>
        <w:tc>
          <w:tcPr>
            <w:tcW w:w="1077" w:type="dxa"/>
            <w:noWrap/>
            <w:vAlign w:val="center"/>
            <w:hideMark/>
          </w:tcPr>
          <w:p w14:paraId="3A5398A0" w14:textId="3DEE93D2"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3412FB42" w14:textId="09F16973"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128,734</w:t>
            </w:r>
          </w:p>
        </w:tc>
      </w:tr>
      <w:tr w:rsidR="00015F7B" w:rsidRPr="00653A38" w14:paraId="7257B8E9" w14:textId="77777777" w:rsidTr="00015F7B">
        <w:trPr>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79910F30" w14:textId="0F518D28" w:rsidR="00015F7B" w:rsidRPr="00653A38" w:rsidRDefault="00015F7B" w:rsidP="00015F7B">
            <w:pPr>
              <w:widowControl/>
              <w:autoSpaceDE/>
              <w:autoSpaceDN/>
              <w:rPr>
                <w:rFonts w:eastAsia="Times New Roman" w:cs="Calibri"/>
                <w:b w:val="0"/>
                <w:bCs w:val="0"/>
                <w:sz w:val="18"/>
                <w:szCs w:val="18"/>
                <w:lang w:eastAsia="en-GB"/>
              </w:rPr>
            </w:pPr>
            <w:r w:rsidRPr="00015F7B">
              <w:rPr>
                <w:rFonts w:ascii="Calibri" w:hAnsi="Calibri" w:cs="Calibri"/>
                <w:b w:val="0"/>
                <w:bCs w:val="0"/>
                <w:sz w:val="20"/>
                <w:szCs w:val="20"/>
              </w:rPr>
              <w:t xml:space="preserve">Rents, </w:t>
            </w:r>
            <w:proofErr w:type="gramStart"/>
            <w:r w:rsidRPr="00015F7B">
              <w:rPr>
                <w:rFonts w:ascii="Calibri" w:hAnsi="Calibri" w:cs="Calibri"/>
                <w:b w:val="0"/>
                <w:bCs w:val="0"/>
                <w:sz w:val="20"/>
                <w:szCs w:val="20"/>
              </w:rPr>
              <w:t>rates</w:t>
            </w:r>
            <w:proofErr w:type="gramEnd"/>
            <w:r w:rsidRPr="00015F7B">
              <w:rPr>
                <w:rFonts w:ascii="Calibri" w:hAnsi="Calibri" w:cs="Calibri"/>
                <w:b w:val="0"/>
                <w:bCs w:val="0"/>
                <w:sz w:val="20"/>
                <w:szCs w:val="20"/>
              </w:rPr>
              <w:t xml:space="preserve"> and office costs</w:t>
            </w:r>
          </w:p>
        </w:tc>
        <w:tc>
          <w:tcPr>
            <w:tcW w:w="1077" w:type="dxa"/>
            <w:noWrap/>
            <w:vAlign w:val="center"/>
            <w:hideMark/>
          </w:tcPr>
          <w:p w14:paraId="4D009235" w14:textId="7FCD9565"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288</w:t>
            </w:r>
          </w:p>
        </w:tc>
        <w:tc>
          <w:tcPr>
            <w:tcW w:w="1077" w:type="dxa"/>
            <w:noWrap/>
            <w:vAlign w:val="center"/>
            <w:hideMark/>
          </w:tcPr>
          <w:p w14:paraId="29F5D924" w14:textId="68273462"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323,956</w:t>
            </w:r>
          </w:p>
        </w:tc>
        <w:tc>
          <w:tcPr>
            <w:tcW w:w="1077" w:type="dxa"/>
            <w:noWrap/>
            <w:vAlign w:val="center"/>
            <w:hideMark/>
          </w:tcPr>
          <w:p w14:paraId="57980468" w14:textId="32D3596D"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7DEDEACF" w14:textId="242C56D1"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86,840 </w:t>
            </w:r>
          </w:p>
        </w:tc>
        <w:tc>
          <w:tcPr>
            <w:tcW w:w="1077" w:type="dxa"/>
            <w:noWrap/>
            <w:vAlign w:val="center"/>
            <w:hideMark/>
          </w:tcPr>
          <w:p w14:paraId="2B561005" w14:textId="58728F41"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1FB15D5F" w14:textId="49A2CF34"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411,084</w:t>
            </w:r>
          </w:p>
        </w:tc>
      </w:tr>
      <w:tr w:rsidR="00015F7B" w:rsidRPr="00653A38" w14:paraId="37B73665" w14:textId="77777777" w:rsidTr="006C0F0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2A5DB3B7" w14:textId="2A07D380" w:rsidR="00015F7B" w:rsidRPr="00653A38" w:rsidRDefault="00015F7B" w:rsidP="00015F7B">
            <w:pPr>
              <w:widowControl/>
              <w:autoSpaceDE/>
              <w:autoSpaceDN/>
              <w:rPr>
                <w:rFonts w:eastAsia="Times New Roman" w:cs="Calibri"/>
                <w:b w:val="0"/>
                <w:bCs w:val="0"/>
                <w:sz w:val="18"/>
                <w:szCs w:val="18"/>
                <w:lang w:eastAsia="en-GB"/>
              </w:rPr>
            </w:pPr>
            <w:r w:rsidRPr="00015F7B">
              <w:rPr>
                <w:rFonts w:ascii="Calibri" w:hAnsi="Calibri" w:cs="Calibri"/>
                <w:b w:val="0"/>
                <w:bCs w:val="0"/>
                <w:sz w:val="20"/>
                <w:szCs w:val="20"/>
              </w:rPr>
              <w:t xml:space="preserve">Audit and accountancy fees </w:t>
            </w:r>
          </w:p>
        </w:tc>
        <w:tc>
          <w:tcPr>
            <w:tcW w:w="1077" w:type="dxa"/>
            <w:noWrap/>
            <w:vAlign w:val="center"/>
            <w:hideMark/>
          </w:tcPr>
          <w:p w14:paraId="67C42AB3" w14:textId="6D4E6962"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6BA71035" w14:textId="1462F762"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0325B2C6" w14:textId="1D1BDF1E"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58481099" w14:textId="540B4533"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5FB1A00A" w14:textId="04735AE4"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3C55840A" w14:textId="76C1D170"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19,630</w:t>
            </w:r>
          </w:p>
        </w:tc>
      </w:tr>
      <w:tr w:rsidR="00015F7B" w:rsidRPr="00653A38" w14:paraId="67FD1BCA" w14:textId="77777777" w:rsidTr="006C0F03">
        <w:trPr>
          <w:trHeight w:val="280"/>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0AAE9477" w14:textId="6626E455" w:rsidR="00015F7B" w:rsidRPr="00653A38" w:rsidRDefault="00015F7B" w:rsidP="00015F7B">
            <w:pPr>
              <w:widowControl/>
              <w:autoSpaceDE/>
              <w:autoSpaceDN/>
              <w:rPr>
                <w:rFonts w:eastAsia="Times New Roman" w:cs="Calibri"/>
                <w:b w:val="0"/>
                <w:bCs w:val="0"/>
                <w:sz w:val="18"/>
                <w:szCs w:val="18"/>
                <w:lang w:eastAsia="en-GB"/>
              </w:rPr>
            </w:pPr>
            <w:r w:rsidRPr="00015F7B">
              <w:rPr>
                <w:rFonts w:ascii="Calibri" w:hAnsi="Calibri" w:cs="Calibri"/>
                <w:b w:val="0"/>
                <w:bCs w:val="0"/>
                <w:sz w:val="20"/>
                <w:szCs w:val="20"/>
              </w:rPr>
              <w:t>Governance and legal costs</w:t>
            </w:r>
          </w:p>
        </w:tc>
        <w:tc>
          <w:tcPr>
            <w:tcW w:w="1077" w:type="dxa"/>
            <w:noWrap/>
            <w:vAlign w:val="center"/>
            <w:hideMark/>
          </w:tcPr>
          <w:p w14:paraId="66824F8D" w14:textId="19F3FB12"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3032C883" w14:textId="5F145ED3"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27431FD6" w14:textId="501A153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w:t>
            </w:r>
          </w:p>
        </w:tc>
        <w:tc>
          <w:tcPr>
            <w:tcW w:w="1077" w:type="dxa"/>
            <w:noWrap/>
            <w:vAlign w:val="center"/>
            <w:hideMark/>
          </w:tcPr>
          <w:p w14:paraId="55290AD7" w14:textId="4F6A94FC"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   </w:t>
            </w:r>
          </w:p>
        </w:tc>
        <w:tc>
          <w:tcPr>
            <w:tcW w:w="1077" w:type="dxa"/>
            <w:noWrap/>
            <w:vAlign w:val="center"/>
            <w:hideMark/>
          </w:tcPr>
          <w:p w14:paraId="2291B97E" w14:textId="2D18F7A5"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19,630 </w:t>
            </w:r>
          </w:p>
        </w:tc>
        <w:tc>
          <w:tcPr>
            <w:tcW w:w="1077" w:type="dxa"/>
            <w:noWrap/>
            <w:vAlign w:val="center"/>
            <w:hideMark/>
          </w:tcPr>
          <w:p w14:paraId="4B85D304" w14:textId="254A5C3B"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75,554</w:t>
            </w:r>
          </w:p>
        </w:tc>
      </w:tr>
      <w:tr w:rsidR="00015F7B" w:rsidRPr="00653A38" w14:paraId="4B22E373" w14:textId="77777777" w:rsidTr="006C0F0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08" w:type="dxa"/>
            <w:noWrap/>
            <w:vAlign w:val="bottom"/>
            <w:hideMark/>
          </w:tcPr>
          <w:p w14:paraId="741FFE54" w14:textId="4BB3AB8B" w:rsidR="00015F7B" w:rsidRPr="00653A38" w:rsidRDefault="00015F7B" w:rsidP="00015F7B">
            <w:pPr>
              <w:widowControl/>
              <w:autoSpaceDE/>
              <w:autoSpaceDN/>
              <w:rPr>
                <w:rFonts w:eastAsia="Times New Roman" w:cs="Calibri"/>
                <w:b w:val="0"/>
                <w:bCs w:val="0"/>
                <w:sz w:val="18"/>
                <w:szCs w:val="18"/>
                <w:lang w:eastAsia="en-GB"/>
              </w:rPr>
            </w:pPr>
            <w:r w:rsidRPr="00015F7B">
              <w:rPr>
                <w:rFonts w:ascii="Calibri" w:hAnsi="Calibri" w:cs="Calibri"/>
                <w:b w:val="0"/>
                <w:bCs w:val="0"/>
                <w:sz w:val="20"/>
                <w:szCs w:val="20"/>
              </w:rPr>
              <w:t>Other costs</w:t>
            </w:r>
          </w:p>
        </w:tc>
        <w:tc>
          <w:tcPr>
            <w:tcW w:w="1077" w:type="dxa"/>
            <w:tcBorders>
              <w:bottom w:val="single" w:sz="4" w:space="0" w:color="auto"/>
            </w:tcBorders>
            <w:noWrap/>
            <w:vAlign w:val="center"/>
            <w:hideMark/>
          </w:tcPr>
          <w:p w14:paraId="0A6CD694" w14:textId="0023FB0F"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14,715</w:t>
            </w:r>
          </w:p>
        </w:tc>
        <w:tc>
          <w:tcPr>
            <w:tcW w:w="1077" w:type="dxa"/>
            <w:tcBorders>
              <w:bottom w:val="single" w:sz="4" w:space="0" w:color="auto"/>
            </w:tcBorders>
            <w:noWrap/>
            <w:vAlign w:val="center"/>
            <w:hideMark/>
          </w:tcPr>
          <w:p w14:paraId="0C709B33" w14:textId="6997559F"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89,490</w:t>
            </w:r>
          </w:p>
        </w:tc>
        <w:tc>
          <w:tcPr>
            <w:tcW w:w="1077" w:type="dxa"/>
            <w:tcBorders>
              <w:bottom w:val="single" w:sz="4" w:space="0" w:color="auto"/>
            </w:tcBorders>
            <w:noWrap/>
            <w:vAlign w:val="center"/>
            <w:hideMark/>
          </w:tcPr>
          <w:p w14:paraId="56FEA62E" w14:textId="64FE992A"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1,307</w:t>
            </w:r>
          </w:p>
        </w:tc>
        <w:tc>
          <w:tcPr>
            <w:tcW w:w="1077" w:type="dxa"/>
            <w:tcBorders>
              <w:bottom w:val="single" w:sz="4" w:space="0" w:color="auto"/>
            </w:tcBorders>
            <w:noWrap/>
            <w:vAlign w:val="center"/>
            <w:hideMark/>
          </w:tcPr>
          <w:p w14:paraId="023A0476" w14:textId="46E2711F"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144,703 </w:t>
            </w:r>
          </w:p>
        </w:tc>
        <w:tc>
          <w:tcPr>
            <w:tcW w:w="1077" w:type="dxa"/>
            <w:tcBorders>
              <w:bottom w:val="single" w:sz="4" w:space="0" w:color="auto"/>
            </w:tcBorders>
            <w:noWrap/>
            <w:vAlign w:val="center"/>
            <w:hideMark/>
          </w:tcPr>
          <w:p w14:paraId="06C9DCDE" w14:textId="781A897A"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 xml:space="preserve">75,554 </w:t>
            </w:r>
          </w:p>
        </w:tc>
        <w:tc>
          <w:tcPr>
            <w:tcW w:w="1077" w:type="dxa"/>
            <w:tcBorders>
              <w:bottom w:val="single" w:sz="4" w:space="0" w:color="auto"/>
            </w:tcBorders>
            <w:noWrap/>
            <w:vAlign w:val="center"/>
            <w:hideMark/>
          </w:tcPr>
          <w:p w14:paraId="092AD465" w14:textId="76C72F10"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250,216</w:t>
            </w:r>
          </w:p>
        </w:tc>
      </w:tr>
      <w:tr w:rsidR="00015F7B" w:rsidRPr="00653A38" w14:paraId="1E538BB2" w14:textId="77777777" w:rsidTr="006C0F03">
        <w:trPr>
          <w:trHeight w:val="16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147C8947" w14:textId="77777777" w:rsidR="00015F7B" w:rsidRPr="00653A38" w:rsidRDefault="00015F7B" w:rsidP="00015F7B">
            <w:pPr>
              <w:widowControl/>
              <w:autoSpaceDE/>
              <w:autoSpaceDN/>
              <w:rPr>
                <w:rFonts w:eastAsia="Times New Roman" w:cs="Calibri"/>
                <w:b w:val="0"/>
                <w:bCs w:val="0"/>
                <w:sz w:val="18"/>
                <w:szCs w:val="18"/>
                <w:lang w:eastAsia="en-GB"/>
              </w:rPr>
            </w:pPr>
          </w:p>
        </w:tc>
        <w:tc>
          <w:tcPr>
            <w:tcW w:w="1077" w:type="dxa"/>
            <w:tcBorders>
              <w:top w:val="single" w:sz="4" w:space="0" w:color="auto"/>
            </w:tcBorders>
            <w:noWrap/>
            <w:vAlign w:val="center"/>
            <w:hideMark/>
          </w:tcPr>
          <w:p w14:paraId="08AB14DB"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264BC18B"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434CBCE0"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71F6ACDF"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1F52DC80"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653A38">
              <w:rPr>
                <w:rFonts w:eastAsia="Times New Roman" w:cs="Calibri"/>
                <w:sz w:val="18"/>
                <w:szCs w:val="18"/>
                <w:lang w:eastAsia="en-GB"/>
              </w:rPr>
              <w:t> </w:t>
            </w:r>
          </w:p>
        </w:tc>
        <w:tc>
          <w:tcPr>
            <w:tcW w:w="1077" w:type="dxa"/>
            <w:tcBorders>
              <w:top w:val="single" w:sz="4" w:space="0" w:color="auto"/>
            </w:tcBorders>
            <w:noWrap/>
            <w:vAlign w:val="center"/>
            <w:hideMark/>
          </w:tcPr>
          <w:p w14:paraId="48E1ED25" w14:textId="0893D24F"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p>
        </w:tc>
      </w:tr>
      <w:tr w:rsidR="00015F7B" w:rsidRPr="00653A38" w14:paraId="21B4FDAA" w14:textId="77777777" w:rsidTr="006C0F0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0622EAAF" w14:textId="77777777" w:rsidR="00015F7B" w:rsidRPr="00653A38" w:rsidRDefault="00015F7B" w:rsidP="00015F7B">
            <w:pPr>
              <w:widowControl/>
              <w:autoSpaceDE/>
              <w:autoSpaceDN/>
              <w:rPr>
                <w:rFonts w:eastAsia="Times New Roman" w:cs="Times New Roman"/>
                <w:b w:val="0"/>
                <w:bCs w:val="0"/>
                <w:sz w:val="18"/>
                <w:szCs w:val="18"/>
                <w:lang w:eastAsia="en-GB"/>
              </w:rPr>
            </w:pPr>
          </w:p>
        </w:tc>
        <w:tc>
          <w:tcPr>
            <w:tcW w:w="1077" w:type="dxa"/>
            <w:noWrap/>
            <w:vAlign w:val="center"/>
            <w:hideMark/>
          </w:tcPr>
          <w:p w14:paraId="0491E5D6" w14:textId="6CC297DA"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408,639</w:t>
            </w:r>
          </w:p>
        </w:tc>
        <w:tc>
          <w:tcPr>
            <w:tcW w:w="1077" w:type="dxa"/>
            <w:noWrap/>
            <w:vAlign w:val="center"/>
            <w:hideMark/>
          </w:tcPr>
          <w:p w14:paraId="6C2B074D" w14:textId="3849D3C6"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899,404</w:t>
            </w:r>
          </w:p>
        </w:tc>
        <w:tc>
          <w:tcPr>
            <w:tcW w:w="1077" w:type="dxa"/>
            <w:noWrap/>
            <w:vAlign w:val="center"/>
            <w:hideMark/>
          </w:tcPr>
          <w:p w14:paraId="49C3F687" w14:textId="798A9B5C"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1,744,573</w:t>
            </w:r>
          </w:p>
        </w:tc>
        <w:tc>
          <w:tcPr>
            <w:tcW w:w="1077" w:type="dxa"/>
            <w:noWrap/>
            <w:vAlign w:val="center"/>
            <w:hideMark/>
          </w:tcPr>
          <w:p w14:paraId="7DD5860F" w14:textId="1B19497B"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391,944</w:t>
            </w:r>
          </w:p>
        </w:tc>
        <w:tc>
          <w:tcPr>
            <w:tcW w:w="1077" w:type="dxa"/>
            <w:noWrap/>
            <w:vAlign w:val="center"/>
            <w:hideMark/>
          </w:tcPr>
          <w:p w14:paraId="0384F8AC" w14:textId="6324CE67"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95,184</w:t>
            </w:r>
          </w:p>
        </w:tc>
        <w:tc>
          <w:tcPr>
            <w:tcW w:w="1077" w:type="dxa"/>
            <w:vAlign w:val="center"/>
            <w:hideMark/>
          </w:tcPr>
          <w:p w14:paraId="1F447E7B" w14:textId="6A2B9CFF"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3,539,744</w:t>
            </w:r>
          </w:p>
        </w:tc>
      </w:tr>
      <w:tr w:rsidR="00015F7B" w:rsidRPr="00653A38" w14:paraId="3AB5ED36" w14:textId="77777777" w:rsidTr="00015F7B">
        <w:trPr>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14:paraId="37743973" w14:textId="77777777" w:rsidR="00015F7B" w:rsidRPr="00653A38" w:rsidRDefault="00015F7B" w:rsidP="00015F7B">
            <w:pPr>
              <w:widowControl/>
              <w:autoSpaceDE/>
              <w:autoSpaceDN/>
              <w:rPr>
                <w:rFonts w:eastAsia="Times New Roman" w:cs="Calibri"/>
                <w:b w:val="0"/>
                <w:bCs w:val="0"/>
                <w:sz w:val="18"/>
                <w:szCs w:val="18"/>
                <w:lang w:eastAsia="en-GB"/>
              </w:rPr>
            </w:pPr>
          </w:p>
        </w:tc>
        <w:tc>
          <w:tcPr>
            <w:tcW w:w="1077" w:type="dxa"/>
            <w:noWrap/>
            <w:vAlign w:val="center"/>
          </w:tcPr>
          <w:p w14:paraId="00CCD0B1"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4C6EB698"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4E5FCA13"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4BD80C93"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3A673CCB"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077" w:type="dxa"/>
            <w:noWrap/>
            <w:vAlign w:val="center"/>
          </w:tcPr>
          <w:p w14:paraId="259405F9"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p>
        </w:tc>
      </w:tr>
      <w:tr w:rsidR="00015F7B" w:rsidRPr="00653A38" w14:paraId="5C1F7023" w14:textId="77777777" w:rsidTr="00015F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7059FC98" w14:textId="77777777" w:rsidR="00015F7B" w:rsidRPr="00653A38" w:rsidRDefault="00015F7B" w:rsidP="00015F7B">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Support costs</w:t>
            </w:r>
          </w:p>
        </w:tc>
        <w:tc>
          <w:tcPr>
            <w:tcW w:w="1077" w:type="dxa"/>
            <w:noWrap/>
            <w:vAlign w:val="center"/>
            <w:hideMark/>
          </w:tcPr>
          <w:p w14:paraId="473C341A" w14:textId="76A12818"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65,987</w:t>
            </w:r>
          </w:p>
        </w:tc>
        <w:tc>
          <w:tcPr>
            <w:tcW w:w="1077" w:type="dxa"/>
            <w:noWrap/>
            <w:vAlign w:val="center"/>
            <w:hideMark/>
          </w:tcPr>
          <w:p w14:paraId="6BA79E09" w14:textId="67BC82E2"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44,245</w:t>
            </w:r>
          </w:p>
        </w:tc>
        <w:tc>
          <w:tcPr>
            <w:tcW w:w="1077" w:type="dxa"/>
            <w:noWrap/>
            <w:vAlign w:val="center"/>
            <w:hideMark/>
          </w:tcPr>
          <w:p w14:paraId="1866C23F" w14:textId="5385B4A1"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281,712</w:t>
            </w:r>
          </w:p>
        </w:tc>
        <w:tc>
          <w:tcPr>
            <w:tcW w:w="1077" w:type="dxa"/>
            <w:noWrap/>
            <w:vAlign w:val="center"/>
            <w:hideMark/>
          </w:tcPr>
          <w:p w14:paraId="3936B1D8" w14:textId="7CB7C6DE"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(391,944)</w:t>
            </w:r>
          </w:p>
        </w:tc>
        <w:tc>
          <w:tcPr>
            <w:tcW w:w="1077" w:type="dxa"/>
            <w:noWrap/>
            <w:vAlign w:val="center"/>
            <w:hideMark/>
          </w:tcPr>
          <w:p w14:paraId="025185D6" w14:textId="77777777"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p>
        </w:tc>
        <w:tc>
          <w:tcPr>
            <w:tcW w:w="1077" w:type="dxa"/>
            <w:noWrap/>
            <w:vAlign w:val="center"/>
            <w:hideMark/>
          </w:tcPr>
          <w:p w14:paraId="0C881878" w14:textId="097460F0"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w:t>
            </w:r>
          </w:p>
        </w:tc>
      </w:tr>
      <w:tr w:rsidR="00015F7B" w:rsidRPr="00653A38" w14:paraId="002F0601" w14:textId="77777777" w:rsidTr="00015F7B">
        <w:trPr>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3D1DD68E" w14:textId="77777777" w:rsidR="00015F7B" w:rsidRPr="00653A38" w:rsidRDefault="00015F7B" w:rsidP="00015F7B">
            <w:pPr>
              <w:widowControl/>
              <w:autoSpaceDE/>
              <w:autoSpaceDN/>
              <w:rPr>
                <w:rFonts w:eastAsia="Times New Roman" w:cs="Calibri"/>
                <w:b w:val="0"/>
                <w:bCs w:val="0"/>
                <w:sz w:val="18"/>
                <w:szCs w:val="18"/>
                <w:lang w:eastAsia="en-GB"/>
              </w:rPr>
            </w:pPr>
            <w:r w:rsidRPr="00653A38">
              <w:rPr>
                <w:rFonts w:eastAsia="Times New Roman" w:cs="Calibri"/>
                <w:b w:val="0"/>
                <w:bCs w:val="0"/>
                <w:sz w:val="18"/>
                <w:szCs w:val="18"/>
                <w:lang w:eastAsia="en-GB"/>
              </w:rPr>
              <w:t>Governance costs</w:t>
            </w:r>
          </w:p>
        </w:tc>
        <w:tc>
          <w:tcPr>
            <w:tcW w:w="1077" w:type="dxa"/>
            <w:noWrap/>
            <w:vAlign w:val="center"/>
            <w:hideMark/>
          </w:tcPr>
          <w:p w14:paraId="3CBCED10" w14:textId="5ECC32CC"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11,647</w:t>
            </w:r>
          </w:p>
        </w:tc>
        <w:tc>
          <w:tcPr>
            <w:tcW w:w="1077" w:type="dxa"/>
            <w:noWrap/>
            <w:vAlign w:val="center"/>
            <w:hideMark/>
          </w:tcPr>
          <w:p w14:paraId="36DF52BC" w14:textId="0CFB31EB"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33,815</w:t>
            </w:r>
          </w:p>
        </w:tc>
        <w:tc>
          <w:tcPr>
            <w:tcW w:w="1077" w:type="dxa"/>
            <w:noWrap/>
            <w:vAlign w:val="center"/>
            <w:hideMark/>
          </w:tcPr>
          <w:p w14:paraId="3075BA8F" w14:textId="0BB6205A"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49,722</w:t>
            </w:r>
          </w:p>
        </w:tc>
        <w:tc>
          <w:tcPr>
            <w:tcW w:w="1077" w:type="dxa"/>
            <w:noWrap/>
            <w:vAlign w:val="center"/>
            <w:hideMark/>
          </w:tcPr>
          <w:p w14:paraId="2F82C5A2" w14:textId="7777777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077" w:type="dxa"/>
            <w:noWrap/>
            <w:vAlign w:val="center"/>
            <w:hideMark/>
          </w:tcPr>
          <w:p w14:paraId="46E4AED8" w14:textId="5F34785F"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Pr>
                <w:rFonts w:ascii="Calibri" w:hAnsi="Calibri" w:cs="Calibri"/>
                <w:sz w:val="20"/>
                <w:szCs w:val="20"/>
              </w:rPr>
              <w:t>(95,184)</w:t>
            </w:r>
          </w:p>
        </w:tc>
        <w:tc>
          <w:tcPr>
            <w:tcW w:w="1077" w:type="dxa"/>
            <w:noWrap/>
            <w:vAlign w:val="center"/>
            <w:hideMark/>
          </w:tcPr>
          <w:p w14:paraId="4E1469E3" w14:textId="2A278643"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w:t>
            </w:r>
          </w:p>
        </w:tc>
      </w:tr>
      <w:tr w:rsidR="00015F7B" w:rsidRPr="00653A38" w14:paraId="2ED16C0C" w14:textId="77777777" w:rsidTr="00015F7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44CD1CF7" w14:textId="77777777" w:rsidR="00015F7B" w:rsidRPr="00653A38" w:rsidRDefault="00015F7B" w:rsidP="00015F7B">
            <w:pPr>
              <w:widowControl/>
              <w:autoSpaceDE/>
              <w:autoSpaceDN/>
              <w:rPr>
                <w:rFonts w:eastAsia="Times New Roman" w:cs="Calibri"/>
                <w:sz w:val="18"/>
                <w:szCs w:val="18"/>
                <w:lang w:eastAsia="en-GB"/>
              </w:rPr>
            </w:pPr>
          </w:p>
        </w:tc>
        <w:tc>
          <w:tcPr>
            <w:tcW w:w="1077" w:type="dxa"/>
            <w:tcBorders>
              <w:bottom w:val="single" w:sz="4" w:space="0" w:color="auto"/>
            </w:tcBorders>
            <w:noWrap/>
            <w:vAlign w:val="center"/>
            <w:hideMark/>
          </w:tcPr>
          <w:p w14:paraId="0BDD138A" w14:textId="77777777"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3B434683" w14:textId="77777777"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1EF4DDF8" w14:textId="77777777"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32F4266C" w14:textId="77777777"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5B72C0F8" w14:textId="77777777"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77" w:type="dxa"/>
            <w:tcBorders>
              <w:bottom w:val="single" w:sz="4" w:space="0" w:color="auto"/>
            </w:tcBorders>
            <w:noWrap/>
            <w:vAlign w:val="center"/>
            <w:hideMark/>
          </w:tcPr>
          <w:p w14:paraId="5C61CBB9" w14:textId="77777777" w:rsidR="00015F7B" w:rsidRPr="00653A38" w:rsidRDefault="00015F7B" w:rsidP="00015F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r>
      <w:tr w:rsidR="00015F7B" w:rsidRPr="00653A38" w14:paraId="71E0041C" w14:textId="77777777" w:rsidTr="00015F7B">
        <w:trPr>
          <w:trHeight w:val="255"/>
        </w:trPr>
        <w:tc>
          <w:tcPr>
            <w:cnfStyle w:val="001000000000" w:firstRow="0" w:lastRow="0" w:firstColumn="1" w:lastColumn="0" w:oddVBand="0" w:evenVBand="0" w:oddHBand="0" w:evenHBand="0" w:firstRowFirstColumn="0" w:firstRowLastColumn="0" w:lastRowFirstColumn="0" w:lastRowLastColumn="0"/>
            <w:tcW w:w="2608" w:type="dxa"/>
            <w:noWrap/>
            <w:vAlign w:val="center"/>
            <w:hideMark/>
          </w:tcPr>
          <w:p w14:paraId="332ADB28" w14:textId="71F4617E" w:rsidR="00015F7B" w:rsidRPr="00653A38" w:rsidRDefault="00015F7B" w:rsidP="00015F7B">
            <w:pPr>
              <w:widowControl/>
              <w:autoSpaceDE/>
              <w:autoSpaceDN/>
              <w:rPr>
                <w:rFonts w:eastAsia="Times New Roman" w:cs="Calibri"/>
                <w:sz w:val="18"/>
                <w:szCs w:val="18"/>
                <w:lang w:eastAsia="en-GB"/>
              </w:rPr>
            </w:pPr>
            <w:r w:rsidRPr="00653A38">
              <w:rPr>
                <w:rFonts w:eastAsia="Times New Roman" w:cs="Calibri"/>
                <w:sz w:val="18"/>
                <w:szCs w:val="18"/>
                <w:lang w:eastAsia="en-GB"/>
              </w:rPr>
              <w:t>Total expenditure 202</w:t>
            </w:r>
            <w:r w:rsidR="00EA5234">
              <w:rPr>
                <w:rFonts w:eastAsia="Times New Roman" w:cs="Calibri"/>
                <w:sz w:val="18"/>
                <w:szCs w:val="18"/>
                <w:lang w:eastAsia="en-GB"/>
              </w:rPr>
              <w:t>0</w:t>
            </w:r>
          </w:p>
        </w:tc>
        <w:tc>
          <w:tcPr>
            <w:tcW w:w="1077" w:type="dxa"/>
            <w:tcBorders>
              <w:top w:val="single" w:sz="4" w:space="0" w:color="auto"/>
              <w:bottom w:val="double" w:sz="4" w:space="0" w:color="auto"/>
            </w:tcBorders>
            <w:noWrap/>
            <w:vAlign w:val="center"/>
            <w:hideMark/>
          </w:tcPr>
          <w:p w14:paraId="0E265C5C" w14:textId="49417D62"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486,272</w:t>
            </w:r>
          </w:p>
        </w:tc>
        <w:tc>
          <w:tcPr>
            <w:tcW w:w="1077" w:type="dxa"/>
            <w:tcBorders>
              <w:top w:val="single" w:sz="4" w:space="0" w:color="auto"/>
              <w:bottom w:val="double" w:sz="4" w:space="0" w:color="auto"/>
            </w:tcBorders>
            <w:noWrap/>
            <w:vAlign w:val="center"/>
            <w:hideMark/>
          </w:tcPr>
          <w:p w14:paraId="70B1EC31" w14:textId="27242F27"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977,464</w:t>
            </w:r>
          </w:p>
        </w:tc>
        <w:tc>
          <w:tcPr>
            <w:tcW w:w="1077" w:type="dxa"/>
            <w:tcBorders>
              <w:top w:val="single" w:sz="4" w:space="0" w:color="auto"/>
              <w:bottom w:val="double" w:sz="4" w:space="0" w:color="auto"/>
            </w:tcBorders>
            <w:noWrap/>
            <w:vAlign w:val="center"/>
            <w:hideMark/>
          </w:tcPr>
          <w:p w14:paraId="74BF0B89" w14:textId="3091EFC3"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2,076,008</w:t>
            </w:r>
          </w:p>
        </w:tc>
        <w:tc>
          <w:tcPr>
            <w:tcW w:w="1077" w:type="dxa"/>
            <w:tcBorders>
              <w:top w:val="single" w:sz="4" w:space="0" w:color="auto"/>
              <w:bottom w:val="double" w:sz="4" w:space="0" w:color="auto"/>
            </w:tcBorders>
            <w:noWrap/>
            <w:vAlign w:val="center"/>
            <w:hideMark/>
          </w:tcPr>
          <w:p w14:paraId="602A6ACC" w14:textId="7C8A1ACB"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w:t>
            </w:r>
          </w:p>
        </w:tc>
        <w:tc>
          <w:tcPr>
            <w:tcW w:w="1077" w:type="dxa"/>
            <w:tcBorders>
              <w:top w:val="single" w:sz="4" w:space="0" w:color="auto"/>
              <w:bottom w:val="double" w:sz="4" w:space="0" w:color="auto"/>
            </w:tcBorders>
            <w:noWrap/>
            <w:vAlign w:val="center"/>
            <w:hideMark/>
          </w:tcPr>
          <w:p w14:paraId="565000D4" w14:textId="3FF88E6B"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w:t>
            </w:r>
          </w:p>
        </w:tc>
        <w:tc>
          <w:tcPr>
            <w:tcW w:w="1077" w:type="dxa"/>
            <w:tcBorders>
              <w:top w:val="single" w:sz="4" w:space="0" w:color="auto"/>
              <w:bottom w:val="double" w:sz="4" w:space="0" w:color="auto"/>
            </w:tcBorders>
            <w:noWrap/>
            <w:vAlign w:val="center"/>
            <w:hideMark/>
          </w:tcPr>
          <w:p w14:paraId="563CB45C" w14:textId="7DF5FE59" w:rsidR="00015F7B" w:rsidRPr="00653A38" w:rsidRDefault="00015F7B" w:rsidP="00015F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Pr>
                <w:rFonts w:ascii="Calibri" w:hAnsi="Calibri" w:cs="Calibri"/>
                <w:b/>
                <w:bCs/>
                <w:sz w:val="20"/>
                <w:szCs w:val="20"/>
              </w:rPr>
              <w:t>3,539,744</w:t>
            </w:r>
          </w:p>
        </w:tc>
      </w:tr>
    </w:tbl>
    <w:p w14:paraId="296D7DF2" w14:textId="77777777" w:rsidR="009C7620" w:rsidRDefault="009C7620" w:rsidP="001B1DFE">
      <w:pPr>
        <w:rPr>
          <w:sz w:val="18"/>
          <w:szCs w:val="18"/>
        </w:rPr>
      </w:pPr>
    </w:p>
    <w:p w14:paraId="6510F179" w14:textId="77777777" w:rsidR="009C7620" w:rsidRDefault="009C7620" w:rsidP="001B1DFE">
      <w:pPr>
        <w:rPr>
          <w:sz w:val="18"/>
          <w:szCs w:val="18"/>
        </w:rPr>
      </w:pPr>
    </w:p>
    <w:p w14:paraId="3E04DC73" w14:textId="77777777" w:rsidR="009C7620" w:rsidRDefault="009C7620" w:rsidP="001B1DFE">
      <w:pPr>
        <w:rPr>
          <w:sz w:val="18"/>
          <w:szCs w:val="18"/>
        </w:rPr>
      </w:pPr>
    </w:p>
    <w:p w14:paraId="2A2830E2" w14:textId="371576BA" w:rsidR="00015F7B" w:rsidRDefault="00015F7B" w:rsidP="001B1DFE">
      <w:pPr>
        <w:rPr>
          <w:sz w:val="18"/>
          <w:szCs w:val="18"/>
        </w:rPr>
      </w:pPr>
      <w:r w:rsidRPr="00015F7B">
        <w:rPr>
          <w:sz w:val="18"/>
          <w:szCs w:val="18"/>
        </w:rPr>
        <w:t>The allocation methodology for support costs and governance costs has been reviewed and updated. Figures for 2019/20 have been restated using the same methodology. Further details can be found in note (j).</w:t>
      </w:r>
    </w:p>
    <w:p w14:paraId="4D789649" w14:textId="77777777" w:rsidR="00D82997" w:rsidRPr="00015F7B" w:rsidRDefault="00D82997" w:rsidP="001B1DFE">
      <w:pPr>
        <w:rPr>
          <w:sz w:val="18"/>
          <w:szCs w:val="18"/>
        </w:rPr>
      </w:pPr>
    </w:p>
    <w:p w14:paraId="3606B0CB" w14:textId="39B927CD" w:rsidR="00264C3D" w:rsidRDefault="00264C3D" w:rsidP="001B1DFE"/>
    <w:p w14:paraId="7C70D238" w14:textId="693B26D9" w:rsidR="00264C3D" w:rsidRDefault="00264C3D" w:rsidP="001B1DFE">
      <w:pPr>
        <w:pStyle w:val="ListNumber"/>
      </w:pPr>
      <w:r>
        <w:t>Distribution to Member Societies</w:t>
      </w:r>
    </w:p>
    <w:tbl>
      <w:tblPr>
        <w:tblStyle w:val="PlainTable4"/>
        <w:tblW w:w="8729" w:type="dxa"/>
        <w:tblLook w:val="04A0" w:firstRow="1" w:lastRow="0" w:firstColumn="1" w:lastColumn="0" w:noHBand="0" w:noVBand="1"/>
      </w:tblPr>
      <w:tblGrid>
        <w:gridCol w:w="5537"/>
        <w:gridCol w:w="1595"/>
        <w:gridCol w:w="1597"/>
      </w:tblGrid>
      <w:tr w:rsidR="00E17A11" w14:paraId="454C6349" w14:textId="77777777" w:rsidTr="00E17A11">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2C97638D" w14:textId="77777777" w:rsidR="00E17A11" w:rsidRDefault="00E17A11" w:rsidP="00E17A11">
            <w:pPr>
              <w:rPr>
                <w:sz w:val="16"/>
                <w:szCs w:val="16"/>
              </w:rPr>
            </w:pPr>
          </w:p>
          <w:p w14:paraId="46D2EC98" w14:textId="77777777" w:rsidR="00E17A11" w:rsidRPr="001B1DFE" w:rsidRDefault="00E17A11" w:rsidP="00E17A11">
            <w:pPr>
              <w:rPr>
                <w:b w:val="0"/>
                <w:bCs w:val="0"/>
                <w:sz w:val="16"/>
                <w:szCs w:val="16"/>
              </w:rPr>
            </w:pPr>
          </w:p>
        </w:tc>
        <w:tc>
          <w:tcPr>
            <w:tcW w:w="1595" w:type="dxa"/>
            <w:vAlign w:val="center"/>
          </w:tcPr>
          <w:p w14:paraId="4A20B9A6" w14:textId="77777777" w:rsidR="00E17A11" w:rsidRPr="001B1DFE" w:rsidRDefault="00E17A11" w:rsidP="00E17A11">
            <w:pPr>
              <w:pStyle w:val="TableParagraph"/>
              <w:jc w:val="right"/>
              <w:cnfStyle w:val="100000000000" w:firstRow="1" w:lastRow="0" w:firstColumn="0" w:lastColumn="0" w:oddVBand="0" w:evenVBand="0" w:oddHBand="0" w:evenHBand="0" w:firstRowFirstColumn="0" w:firstRowLastColumn="0" w:lastRowFirstColumn="0" w:lastRowLastColumn="0"/>
            </w:pPr>
            <w:r w:rsidRPr="001B1DFE">
              <w:t>2021</w:t>
            </w:r>
          </w:p>
          <w:p w14:paraId="647EE088" w14:textId="77777777" w:rsidR="00E17A11" w:rsidRPr="001B1DFE" w:rsidRDefault="00E17A11" w:rsidP="00E17A11">
            <w:pPr>
              <w:pStyle w:val="TableParagraph"/>
              <w:jc w:val="right"/>
              <w:cnfStyle w:val="100000000000" w:firstRow="1" w:lastRow="0" w:firstColumn="0" w:lastColumn="0" w:oddVBand="0" w:evenVBand="0" w:oddHBand="0" w:evenHBand="0" w:firstRowFirstColumn="0" w:firstRowLastColumn="0" w:lastRowFirstColumn="0" w:lastRowLastColumn="0"/>
            </w:pPr>
            <w:r w:rsidRPr="001B1DFE">
              <w:t>Total</w:t>
            </w:r>
          </w:p>
          <w:p w14:paraId="7278A954" w14:textId="77777777" w:rsidR="00E17A11" w:rsidRPr="001B1DFE" w:rsidRDefault="00E17A11" w:rsidP="00E17A11">
            <w:pPr>
              <w:pStyle w:val="TableParagraph"/>
              <w:jc w:val="right"/>
              <w:cnfStyle w:val="100000000000" w:firstRow="1" w:lastRow="0" w:firstColumn="0" w:lastColumn="0" w:oddVBand="0" w:evenVBand="0" w:oddHBand="0" w:evenHBand="0" w:firstRowFirstColumn="0" w:firstRowLastColumn="0" w:lastRowFirstColumn="0" w:lastRowLastColumn="0"/>
            </w:pPr>
            <w:r w:rsidRPr="001B1DFE">
              <w:t>£</w:t>
            </w:r>
          </w:p>
        </w:tc>
        <w:tc>
          <w:tcPr>
            <w:tcW w:w="1597" w:type="dxa"/>
            <w:vAlign w:val="center"/>
          </w:tcPr>
          <w:p w14:paraId="1A04F93F" w14:textId="77777777" w:rsidR="00E17A11" w:rsidRPr="001B1DFE" w:rsidRDefault="00E17A11" w:rsidP="00E17A11">
            <w:pPr>
              <w:pStyle w:val="TableParagraph"/>
              <w:jc w:val="right"/>
              <w:cnfStyle w:val="100000000000" w:firstRow="1" w:lastRow="0" w:firstColumn="0" w:lastColumn="0" w:oddVBand="0" w:evenVBand="0" w:oddHBand="0" w:evenHBand="0" w:firstRowFirstColumn="0" w:firstRowLastColumn="0" w:lastRowFirstColumn="0" w:lastRowLastColumn="0"/>
            </w:pPr>
            <w:r w:rsidRPr="001B1DFE">
              <w:t>2020</w:t>
            </w:r>
          </w:p>
          <w:p w14:paraId="4BDAB7EF" w14:textId="77777777" w:rsidR="00E17A11" w:rsidRPr="001B1DFE" w:rsidRDefault="00E17A11" w:rsidP="00E17A11">
            <w:pPr>
              <w:pStyle w:val="TableParagraph"/>
              <w:jc w:val="right"/>
              <w:cnfStyle w:val="100000000000" w:firstRow="1" w:lastRow="0" w:firstColumn="0" w:lastColumn="0" w:oddVBand="0" w:evenVBand="0" w:oddHBand="0" w:evenHBand="0" w:firstRowFirstColumn="0" w:firstRowLastColumn="0" w:lastRowFirstColumn="0" w:lastRowLastColumn="0"/>
            </w:pPr>
            <w:r w:rsidRPr="001B1DFE">
              <w:t>Total</w:t>
            </w:r>
          </w:p>
          <w:p w14:paraId="20CF21B2" w14:textId="77777777" w:rsidR="00E17A11" w:rsidRPr="001B1DFE" w:rsidRDefault="00E17A11" w:rsidP="00E17A11">
            <w:pPr>
              <w:pStyle w:val="TableParagraph"/>
              <w:jc w:val="right"/>
              <w:cnfStyle w:val="100000000000" w:firstRow="1" w:lastRow="0" w:firstColumn="0" w:lastColumn="0" w:oddVBand="0" w:evenVBand="0" w:oddHBand="0" w:evenHBand="0" w:firstRowFirstColumn="0" w:firstRowLastColumn="0" w:lastRowFirstColumn="0" w:lastRowLastColumn="0"/>
            </w:pPr>
            <w:r w:rsidRPr="001B1DFE">
              <w:t>£</w:t>
            </w:r>
          </w:p>
        </w:tc>
      </w:tr>
      <w:tr w:rsidR="00E17A11" w:rsidRPr="00264C3D" w14:paraId="7C4EED6C" w14:textId="77777777" w:rsidTr="00E17A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1E89B526" w14:textId="2DF0F9E3" w:rsidR="00E17A11" w:rsidRPr="00E17A11" w:rsidRDefault="00E17A11" w:rsidP="00E17A11">
            <w:pPr>
              <w:pStyle w:val="TableParagraph"/>
              <w:rPr>
                <w:b w:val="0"/>
                <w:bCs w:val="0"/>
              </w:rPr>
            </w:pPr>
            <w:r w:rsidRPr="00E17A11">
              <w:rPr>
                <w:b w:val="0"/>
                <w:bCs w:val="0"/>
              </w:rPr>
              <w:t xml:space="preserve">Croydon Vision </w:t>
            </w:r>
          </w:p>
        </w:tc>
        <w:tc>
          <w:tcPr>
            <w:tcW w:w="1595" w:type="dxa"/>
            <w:vAlign w:val="center"/>
          </w:tcPr>
          <w:p w14:paraId="232AD159" w14:textId="65EFA563"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D6439C">
              <w:t xml:space="preserve">- </w:t>
            </w:r>
          </w:p>
        </w:tc>
        <w:tc>
          <w:tcPr>
            <w:tcW w:w="1597" w:type="dxa"/>
            <w:vAlign w:val="center"/>
          </w:tcPr>
          <w:p w14:paraId="3CAE0DA9" w14:textId="5CE81B38"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C47A3A">
              <w:t xml:space="preserve">112,400 </w:t>
            </w:r>
          </w:p>
        </w:tc>
      </w:tr>
      <w:tr w:rsidR="00E17A11" w:rsidRPr="00264C3D" w14:paraId="7E60BBC3" w14:textId="77777777" w:rsidTr="00E17A11">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7AF7510D" w14:textId="312FD39B" w:rsidR="00E17A11" w:rsidRPr="00E17A11" w:rsidRDefault="00E17A11" w:rsidP="00E17A11">
            <w:pPr>
              <w:pStyle w:val="TableParagraph"/>
              <w:rPr>
                <w:b w:val="0"/>
                <w:bCs w:val="0"/>
              </w:rPr>
            </w:pPr>
            <w:r w:rsidRPr="00E17A11">
              <w:rPr>
                <w:b w:val="0"/>
                <w:bCs w:val="0"/>
              </w:rPr>
              <w:t xml:space="preserve">Clarity - Employment for Blind People </w:t>
            </w:r>
          </w:p>
        </w:tc>
        <w:tc>
          <w:tcPr>
            <w:tcW w:w="1595" w:type="dxa"/>
            <w:vAlign w:val="center"/>
          </w:tcPr>
          <w:p w14:paraId="39C0E0D5" w14:textId="35A8C286"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rsidRPr="00D6439C">
              <w:t xml:space="preserve">- </w:t>
            </w:r>
          </w:p>
        </w:tc>
        <w:tc>
          <w:tcPr>
            <w:tcW w:w="1597" w:type="dxa"/>
            <w:vAlign w:val="center"/>
          </w:tcPr>
          <w:p w14:paraId="377E2BBD" w14:textId="4F690E3B"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rsidRPr="00C47A3A">
              <w:t xml:space="preserve">23,520 </w:t>
            </w:r>
          </w:p>
        </w:tc>
      </w:tr>
      <w:tr w:rsidR="00E17A11" w:rsidRPr="00264C3D" w14:paraId="6B1C2741" w14:textId="77777777" w:rsidTr="00E17A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60101A54" w14:textId="2A477BC3" w:rsidR="00E17A11" w:rsidRPr="00E17A11" w:rsidRDefault="00E17A11" w:rsidP="00E17A11">
            <w:pPr>
              <w:pStyle w:val="TableParagraph"/>
              <w:rPr>
                <w:b w:val="0"/>
                <w:bCs w:val="0"/>
              </w:rPr>
            </w:pPr>
            <w:r w:rsidRPr="00E17A11">
              <w:rPr>
                <w:b w:val="0"/>
                <w:bCs w:val="0"/>
              </w:rPr>
              <w:t xml:space="preserve">Kingston Upon Thames Association for the Blind </w:t>
            </w:r>
          </w:p>
        </w:tc>
        <w:tc>
          <w:tcPr>
            <w:tcW w:w="1595" w:type="dxa"/>
            <w:vAlign w:val="center"/>
          </w:tcPr>
          <w:p w14:paraId="7F4A46B5" w14:textId="263B5650"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D6439C">
              <w:t xml:space="preserve">- </w:t>
            </w:r>
          </w:p>
        </w:tc>
        <w:tc>
          <w:tcPr>
            <w:tcW w:w="1597" w:type="dxa"/>
            <w:vAlign w:val="center"/>
          </w:tcPr>
          <w:p w14:paraId="5F87783A" w14:textId="0C53D3F0"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C47A3A">
              <w:t xml:space="preserve">112,400 </w:t>
            </w:r>
          </w:p>
        </w:tc>
      </w:tr>
      <w:tr w:rsidR="00E17A11" w:rsidRPr="00264C3D" w14:paraId="2FB049F6" w14:textId="77777777" w:rsidTr="00E17A11">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321ACED1" w14:textId="721A53B3" w:rsidR="00E17A11" w:rsidRPr="00E17A11" w:rsidRDefault="00E17A11" w:rsidP="00E17A11">
            <w:pPr>
              <w:pStyle w:val="TableParagraph"/>
              <w:rPr>
                <w:b w:val="0"/>
                <w:bCs w:val="0"/>
              </w:rPr>
            </w:pPr>
            <w:r w:rsidRPr="00E17A11">
              <w:rPr>
                <w:b w:val="0"/>
                <w:bCs w:val="0"/>
              </w:rPr>
              <w:t xml:space="preserve">Merton Vision </w:t>
            </w:r>
          </w:p>
        </w:tc>
        <w:tc>
          <w:tcPr>
            <w:tcW w:w="1595" w:type="dxa"/>
            <w:vAlign w:val="center"/>
          </w:tcPr>
          <w:p w14:paraId="0E695953" w14:textId="4D6B076A"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rsidRPr="00D6439C">
              <w:t xml:space="preserve">- </w:t>
            </w:r>
          </w:p>
        </w:tc>
        <w:tc>
          <w:tcPr>
            <w:tcW w:w="1597" w:type="dxa"/>
            <w:vAlign w:val="center"/>
          </w:tcPr>
          <w:p w14:paraId="7A948B48" w14:textId="06F66440"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rsidRPr="00C47A3A">
              <w:t xml:space="preserve">112,400 </w:t>
            </w:r>
          </w:p>
        </w:tc>
      </w:tr>
      <w:tr w:rsidR="00E17A11" w:rsidRPr="00264C3D" w14:paraId="1D7D3660" w14:textId="77777777" w:rsidTr="00E17A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19121F23" w14:textId="52660703" w:rsidR="00E17A11" w:rsidRPr="00E17A11" w:rsidRDefault="00E17A11" w:rsidP="00E17A11">
            <w:pPr>
              <w:pStyle w:val="TableParagraph"/>
              <w:rPr>
                <w:b w:val="0"/>
                <w:bCs w:val="0"/>
              </w:rPr>
            </w:pPr>
            <w:proofErr w:type="spellStart"/>
            <w:r w:rsidRPr="00E17A11">
              <w:rPr>
                <w:b w:val="0"/>
                <w:bCs w:val="0"/>
              </w:rPr>
              <w:t>BlindAid</w:t>
            </w:r>
            <w:proofErr w:type="spellEnd"/>
            <w:r w:rsidRPr="00E17A11">
              <w:rPr>
                <w:b w:val="0"/>
                <w:bCs w:val="0"/>
              </w:rPr>
              <w:t xml:space="preserve"> </w:t>
            </w:r>
          </w:p>
        </w:tc>
        <w:tc>
          <w:tcPr>
            <w:tcW w:w="1595" w:type="dxa"/>
            <w:vAlign w:val="center"/>
          </w:tcPr>
          <w:p w14:paraId="2E9741F7" w14:textId="1E084ADF"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D6439C">
              <w:t xml:space="preserve">- </w:t>
            </w:r>
          </w:p>
        </w:tc>
        <w:tc>
          <w:tcPr>
            <w:tcW w:w="1597" w:type="dxa"/>
            <w:vAlign w:val="center"/>
          </w:tcPr>
          <w:p w14:paraId="7BCA5DCB" w14:textId="3570985C"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C47A3A">
              <w:t xml:space="preserve">224,800 </w:t>
            </w:r>
          </w:p>
        </w:tc>
      </w:tr>
      <w:tr w:rsidR="00E17A11" w:rsidRPr="00264C3D" w14:paraId="21A86CCD" w14:textId="77777777" w:rsidTr="00E17A11">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679BBDA4" w14:textId="2F27E0C6" w:rsidR="00E17A11" w:rsidRPr="00E17A11" w:rsidRDefault="00E17A11" w:rsidP="00E17A11">
            <w:pPr>
              <w:pStyle w:val="TableParagraph"/>
              <w:rPr>
                <w:b w:val="0"/>
                <w:bCs w:val="0"/>
              </w:rPr>
            </w:pPr>
            <w:r w:rsidRPr="00E17A11">
              <w:rPr>
                <w:b w:val="0"/>
                <w:bCs w:val="0"/>
              </w:rPr>
              <w:t xml:space="preserve">The Middlesex Association for the Blind </w:t>
            </w:r>
          </w:p>
        </w:tc>
        <w:tc>
          <w:tcPr>
            <w:tcW w:w="1595" w:type="dxa"/>
            <w:vAlign w:val="center"/>
          </w:tcPr>
          <w:p w14:paraId="7842EA7F" w14:textId="3F2D0CED"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rsidRPr="00D6439C">
              <w:t xml:space="preserve">- </w:t>
            </w:r>
          </w:p>
        </w:tc>
        <w:tc>
          <w:tcPr>
            <w:tcW w:w="1597" w:type="dxa"/>
            <w:vAlign w:val="center"/>
          </w:tcPr>
          <w:p w14:paraId="3A2B13EE" w14:textId="3B91C23C"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rsidRPr="00C47A3A">
              <w:t xml:space="preserve">157,360 </w:t>
            </w:r>
          </w:p>
        </w:tc>
      </w:tr>
      <w:tr w:rsidR="00E17A11" w:rsidRPr="00264C3D" w14:paraId="051415DC" w14:textId="77777777" w:rsidTr="00E17A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5562B80F" w14:textId="27E6C7E0" w:rsidR="00E17A11" w:rsidRPr="00E17A11" w:rsidRDefault="00E17A11" w:rsidP="00E17A11">
            <w:pPr>
              <w:pStyle w:val="TableParagraph"/>
              <w:rPr>
                <w:b w:val="0"/>
                <w:bCs w:val="0"/>
              </w:rPr>
            </w:pPr>
            <w:proofErr w:type="spellStart"/>
            <w:r w:rsidRPr="00E17A11">
              <w:rPr>
                <w:b w:val="0"/>
                <w:bCs w:val="0"/>
              </w:rPr>
              <w:t>SeeAbility</w:t>
            </w:r>
            <w:proofErr w:type="spellEnd"/>
            <w:r w:rsidRPr="00E17A11">
              <w:rPr>
                <w:b w:val="0"/>
                <w:bCs w:val="0"/>
              </w:rPr>
              <w:t xml:space="preserve"> </w:t>
            </w:r>
          </w:p>
        </w:tc>
        <w:tc>
          <w:tcPr>
            <w:tcW w:w="1595" w:type="dxa"/>
            <w:vAlign w:val="center"/>
          </w:tcPr>
          <w:p w14:paraId="2AB0B6F1" w14:textId="3E55B79D"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D6439C">
              <w:t xml:space="preserve">- </w:t>
            </w:r>
          </w:p>
        </w:tc>
        <w:tc>
          <w:tcPr>
            <w:tcW w:w="1597" w:type="dxa"/>
            <w:vAlign w:val="center"/>
          </w:tcPr>
          <w:p w14:paraId="5867116B" w14:textId="61D55634"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C47A3A">
              <w:t xml:space="preserve">224,800 </w:t>
            </w:r>
          </w:p>
        </w:tc>
      </w:tr>
      <w:tr w:rsidR="00E17A11" w:rsidRPr="00264C3D" w14:paraId="4D9D5F61" w14:textId="77777777" w:rsidTr="00E17A11">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07D04B80" w14:textId="5B8E9BD7" w:rsidR="00E17A11" w:rsidRPr="00E17A11" w:rsidRDefault="00E17A11" w:rsidP="00E17A11">
            <w:pPr>
              <w:pStyle w:val="TableParagraph"/>
              <w:rPr>
                <w:b w:val="0"/>
                <w:bCs w:val="0"/>
              </w:rPr>
            </w:pPr>
            <w:r w:rsidRPr="00E17A11">
              <w:rPr>
                <w:b w:val="0"/>
                <w:bCs w:val="0"/>
              </w:rPr>
              <w:t xml:space="preserve">Sight for Surrey </w:t>
            </w:r>
          </w:p>
        </w:tc>
        <w:tc>
          <w:tcPr>
            <w:tcW w:w="1595" w:type="dxa"/>
            <w:vAlign w:val="center"/>
          </w:tcPr>
          <w:p w14:paraId="0CE9A737" w14:textId="7971E1DE"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rsidRPr="00D6439C">
              <w:t xml:space="preserve">- </w:t>
            </w:r>
          </w:p>
        </w:tc>
        <w:tc>
          <w:tcPr>
            <w:tcW w:w="1597" w:type="dxa"/>
            <w:vAlign w:val="center"/>
          </w:tcPr>
          <w:p w14:paraId="7AC0B2EE" w14:textId="505903FF"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rsidRPr="00C47A3A">
              <w:t xml:space="preserve">112,400 </w:t>
            </w:r>
          </w:p>
        </w:tc>
      </w:tr>
      <w:tr w:rsidR="00E17A11" w:rsidRPr="00264C3D" w14:paraId="5AB048BF" w14:textId="77777777" w:rsidTr="00E17A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2960DD16" w14:textId="08FD5B2E" w:rsidR="00E17A11" w:rsidRPr="00E17A11" w:rsidRDefault="00E17A11" w:rsidP="00E17A11">
            <w:pPr>
              <w:pStyle w:val="TableParagraph"/>
              <w:rPr>
                <w:b w:val="0"/>
                <w:bCs w:val="0"/>
              </w:rPr>
            </w:pPr>
            <w:r w:rsidRPr="00E17A11">
              <w:rPr>
                <w:b w:val="0"/>
                <w:bCs w:val="0"/>
              </w:rPr>
              <w:t>Sutton Vision</w:t>
            </w:r>
          </w:p>
        </w:tc>
        <w:tc>
          <w:tcPr>
            <w:tcW w:w="1595" w:type="dxa"/>
            <w:vAlign w:val="center"/>
          </w:tcPr>
          <w:p w14:paraId="5F87C1A8" w14:textId="20F2E7B4"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D6439C">
              <w:t>-</w:t>
            </w:r>
          </w:p>
        </w:tc>
        <w:tc>
          <w:tcPr>
            <w:tcW w:w="1597" w:type="dxa"/>
            <w:vAlign w:val="center"/>
          </w:tcPr>
          <w:p w14:paraId="761D3CBE" w14:textId="01FB3830"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rsidRPr="00C47A3A">
              <w:t xml:space="preserve">112,400 </w:t>
            </w:r>
          </w:p>
        </w:tc>
      </w:tr>
      <w:tr w:rsidR="00E17A11" w:rsidRPr="00264C3D" w14:paraId="0D1E66FB" w14:textId="77777777" w:rsidTr="00E17A11">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67372E1E" w14:textId="77777777" w:rsidR="00E17A11" w:rsidRPr="00264C3D" w:rsidRDefault="00E17A11" w:rsidP="00E17A11">
            <w:pPr>
              <w:pStyle w:val="TableParagraph"/>
            </w:pPr>
          </w:p>
        </w:tc>
        <w:tc>
          <w:tcPr>
            <w:tcW w:w="1595" w:type="dxa"/>
            <w:tcBorders>
              <w:bottom w:val="single" w:sz="4" w:space="0" w:color="auto"/>
            </w:tcBorders>
            <w:vAlign w:val="center"/>
          </w:tcPr>
          <w:p w14:paraId="4AF13600" w14:textId="77777777"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597" w:type="dxa"/>
            <w:tcBorders>
              <w:bottom w:val="single" w:sz="4" w:space="0" w:color="auto"/>
            </w:tcBorders>
            <w:vAlign w:val="center"/>
          </w:tcPr>
          <w:p w14:paraId="22B17691" w14:textId="77777777"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p>
        </w:tc>
      </w:tr>
      <w:tr w:rsidR="00E17A11" w:rsidRPr="00264C3D" w14:paraId="6345B669" w14:textId="77777777" w:rsidTr="00E17A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372CF7EE" w14:textId="77777777" w:rsidR="00E17A11" w:rsidRPr="00264C3D" w:rsidRDefault="00E17A11" w:rsidP="00E17A11">
            <w:pPr>
              <w:pStyle w:val="TableParagraph"/>
            </w:pPr>
          </w:p>
        </w:tc>
        <w:tc>
          <w:tcPr>
            <w:tcW w:w="1595" w:type="dxa"/>
            <w:tcBorders>
              <w:top w:val="single" w:sz="4" w:space="0" w:color="auto"/>
              <w:bottom w:val="single" w:sz="4" w:space="0" w:color="auto"/>
            </w:tcBorders>
            <w:vAlign w:val="center"/>
          </w:tcPr>
          <w:p w14:paraId="533042AC" w14:textId="0C0159A4"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t>-</w:t>
            </w:r>
          </w:p>
        </w:tc>
        <w:tc>
          <w:tcPr>
            <w:tcW w:w="1597" w:type="dxa"/>
            <w:tcBorders>
              <w:top w:val="single" w:sz="4" w:space="0" w:color="auto"/>
              <w:bottom w:val="single" w:sz="4" w:space="0" w:color="auto"/>
            </w:tcBorders>
            <w:vAlign w:val="center"/>
          </w:tcPr>
          <w:p w14:paraId="7D7A98D2" w14:textId="782058F3" w:rsidR="00E17A11" w:rsidRPr="00264C3D"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pPr>
            <w:r>
              <w:t>1,192,480</w:t>
            </w:r>
          </w:p>
        </w:tc>
      </w:tr>
      <w:tr w:rsidR="00E17A11" w:rsidRPr="00264C3D" w14:paraId="509A0A92" w14:textId="77777777" w:rsidTr="00F0402F">
        <w:trPr>
          <w:trHeight w:val="59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2237FF9A" w14:textId="7F3E1E45" w:rsidR="00E17A11" w:rsidRPr="00F0402F" w:rsidRDefault="00F0402F" w:rsidP="00E17A11">
            <w:pPr>
              <w:pStyle w:val="TableParagraph"/>
              <w:rPr>
                <w:b w:val="0"/>
                <w:bCs w:val="0"/>
              </w:rPr>
            </w:pPr>
            <w:r w:rsidRPr="00F0402F">
              <w:rPr>
                <w:b w:val="0"/>
                <w:bCs w:val="0"/>
              </w:rPr>
              <w:t xml:space="preserve">Additional "Geranium Day" funds raised for distribution to Local Associations, Clubs for the blind and </w:t>
            </w:r>
            <w:proofErr w:type="gramStart"/>
            <w:r w:rsidRPr="00F0402F">
              <w:rPr>
                <w:b w:val="0"/>
                <w:bCs w:val="0"/>
              </w:rPr>
              <w:t>partially-sighted</w:t>
            </w:r>
            <w:proofErr w:type="gramEnd"/>
            <w:r w:rsidRPr="00F0402F">
              <w:rPr>
                <w:b w:val="0"/>
                <w:bCs w:val="0"/>
              </w:rPr>
              <w:t xml:space="preserve"> people</w:t>
            </w:r>
          </w:p>
        </w:tc>
        <w:tc>
          <w:tcPr>
            <w:tcW w:w="1595" w:type="dxa"/>
            <w:tcBorders>
              <w:top w:val="single" w:sz="4" w:space="0" w:color="auto"/>
              <w:bottom w:val="single" w:sz="4" w:space="0" w:color="auto"/>
            </w:tcBorders>
            <w:vAlign w:val="center"/>
          </w:tcPr>
          <w:p w14:paraId="0A04D681" w14:textId="061E3CC8"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t>-</w:t>
            </w:r>
          </w:p>
        </w:tc>
        <w:tc>
          <w:tcPr>
            <w:tcW w:w="1597" w:type="dxa"/>
            <w:tcBorders>
              <w:top w:val="single" w:sz="4" w:space="0" w:color="auto"/>
              <w:bottom w:val="single" w:sz="4" w:space="0" w:color="auto"/>
            </w:tcBorders>
            <w:vAlign w:val="center"/>
          </w:tcPr>
          <w:p w14:paraId="76A5C596" w14:textId="7F9EB1F7" w:rsidR="00E17A11" w:rsidRPr="00264C3D" w:rsidRDefault="00E17A11" w:rsidP="00E17A11">
            <w:pPr>
              <w:pStyle w:val="TableParagraph"/>
              <w:jc w:val="right"/>
              <w:cnfStyle w:val="000000000000" w:firstRow="0" w:lastRow="0" w:firstColumn="0" w:lastColumn="0" w:oddVBand="0" w:evenVBand="0" w:oddHBand="0" w:evenHBand="0" w:firstRowFirstColumn="0" w:firstRowLastColumn="0" w:lastRowFirstColumn="0" w:lastRowLastColumn="0"/>
            </w:pPr>
            <w:r>
              <w:t>308</w:t>
            </w:r>
          </w:p>
        </w:tc>
      </w:tr>
      <w:tr w:rsidR="00E17A11" w:rsidRPr="00264C3D" w14:paraId="69A18A4F" w14:textId="77777777" w:rsidTr="00E17A11">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40945F47" w14:textId="1E65B106" w:rsidR="00E17A11" w:rsidRPr="00264C3D" w:rsidRDefault="00E17A11" w:rsidP="00E17A11">
            <w:pPr>
              <w:pStyle w:val="TableParagraph"/>
            </w:pPr>
            <w:r>
              <w:t>Total</w:t>
            </w:r>
            <w:r w:rsidR="00F0402F">
              <w:t xml:space="preserve"> </w:t>
            </w:r>
            <w:r w:rsidR="00F0402F" w:rsidRPr="00F0402F">
              <w:t>distributions to Member Societies</w:t>
            </w:r>
          </w:p>
        </w:tc>
        <w:tc>
          <w:tcPr>
            <w:tcW w:w="1595" w:type="dxa"/>
            <w:tcBorders>
              <w:top w:val="single" w:sz="4" w:space="0" w:color="auto"/>
              <w:bottom w:val="single" w:sz="4" w:space="0" w:color="auto"/>
            </w:tcBorders>
            <w:vAlign w:val="center"/>
          </w:tcPr>
          <w:p w14:paraId="049FDA7D" w14:textId="510E756F" w:rsidR="00E17A11" w:rsidRPr="00E17A11" w:rsidRDefault="00E17A11" w:rsidP="00E17A11">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E17A11">
              <w:rPr>
                <w:b/>
                <w:bCs/>
              </w:rPr>
              <w:t>-</w:t>
            </w:r>
          </w:p>
        </w:tc>
        <w:tc>
          <w:tcPr>
            <w:tcW w:w="1597" w:type="dxa"/>
            <w:tcBorders>
              <w:top w:val="single" w:sz="4" w:space="0" w:color="auto"/>
              <w:bottom w:val="single" w:sz="4" w:space="0" w:color="auto"/>
            </w:tcBorders>
            <w:vAlign w:val="center"/>
          </w:tcPr>
          <w:p w14:paraId="038D9533" w14:textId="508B1D7D" w:rsidR="00E17A11" w:rsidRPr="00E17A11" w:rsidRDefault="00F0402F" w:rsidP="00E17A11">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F0402F">
              <w:rPr>
                <w:b/>
                <w:bCs/>
              </w:rPr>
              <w:t>1,192,788</w:t>
            </w:r>
          </w:p>
        </w:tc>
      </w:tr>
    </w:tbl>
    <w:p w14:paraId="5F53CAC9" w14:textId="6E97402F" w:rsidR="00264C3D" w:rsidRPr="00264C3D" w:rsidRDefault="00264C3D" w:rsidP="00264C3D">
      <w:pPr>
        <w:pStyle w:val="TableParagraph"/>
      </w:pPr>
    </w:p>
    <w:p w14:paraId="7782483E" w14:textId="77777777" w:rsidR="00264C3D" w:rsidRPr="00264C3D" w:rsidRDefault="00264C3D" w:rsidP="00264C3D">
      <w:pPr>
        <w:pStyle w:val="TableParagraph"/>
      </w:pPr>
      <w:r w:rsidRPr="00264C3D">
        <w:t>2019/20 marked the final year of payments under Vision Foundation's membership model. Henceforth all grants are made through a competitive and impact driven grants making process, which is covered under note 7.</w:t>
      </w:r>
    </w:p>
    <w:p w14:paraId="3B862BCF" w14:textId="2AD405DD" w:rsidR="00264C3D" w:rsidRDefault="00264C3D" w:rsidP="001B1DFE"/>
    <w:p w14:paraId="74DBE193" w14:textId="467957BE" w:rsidR="00264C3D" w:rsidRDefault="00264C3D" w:rsidP="001B1DFE"/>
    <w:p w14:paraId="1BFEFEC8" w14:textId="54C8A2DA" w:rsidR="00264C3D" w:rsidRDefault="00264C3D" w:rsidP="001B1DFE">
      <w:pPr>
        <w:pStyle w:val="ListNumber"/>
      </w:pPr>
      <w:r w:rsidRPr="00B30E7B">
        <w:t>Grant making</w:t>
      </w:r>
    </w:p>
    <w:tbl>
      <w:tblPr>
        <w:tblStyle w:val="PlainTable4"/>
        <w:tblW w:w="8602" w:type="dxa"/>
        <w:tblLook w:val="04A0" w:firstRow="1" w:lastRow="0" w:firstColumn="1" w:lastColumn="0" w:noHBand="0" w:noVBand="1"/>
      </w:tblPr>
      <w:tblGrid>
        <w:gridCol w:w="5466"/>
        <w:gridCol w:w="1568"/>
        <w:gridCol w:w="1568"/>
      </w:tblGrid>
      <w:tr w:rsidR="00B30E7B" w14:paraId="45521302" w14:textId="77777777" w:rsidTr="00E17A11">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603CEE6E" w14:textId="4AAC9EFD" w:rsidR="00B30E7B" w:rsidRPr="00E17A11" w:rsidRDefault="00B30E7B" w:rsidP="00B30E7B">
            <w:pPr>
              <w:pStyle w:val="TableParagraph"/>
              <w:rPr>
                <w:sz w:val="16"/>
                <w:szCs w:val="16"/>
              </w:rPr>
            </w:pPr>
            <w:r w:rsidRPr="00E17A11">
              <w:t xml:space="preserve">Grants to institutions </w:t>
            </w:r>
          </w:p>
        </w:tc>
        <w:tc>
          <w:tcPr>
            <w:tcW w:w="1568" w:type="dxa"/>
            <w:vAlign w:val="center"/>
          </w:tcPr>
          <w:p w14:paraId="7DF2DFE8" w14:textId="77777777" w:rsidR="00B30E7B" w:rsidRPr="00B30E7B" w:rsidRDefault="00B30E7B" w:rsidP="00B30E7B">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B30E7B">
              <w:rPr>
                <w:szCs w:val="18"/>
              </w:rPr>
              <w:t>2021</w:t>
            </w:r>
          </w:p>
          <w:p w14:paraId="25D75284" w14:textId="77777777" w:rsidR="00B30E7B" w:rsidRPr="00B30E7B" w:rsidRDefault="00B30E7B" w:rsidP="00B30E7B">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B30E7B">
              <w:rPr>
                <w:szCs w:val="18"/>
              </w:rPr>
              <w:t>£</w:t>
            </w:r>
          </w:p>
        </w:tc>
        <w:tc>
          <w:tcPr>
            <w:tcW w:w="1568" w:type="dxa"/>
            <w:vAlign w:val="center"/>
          </w:tcPr>
          <w:p w14:paraId="50856785" w14:textId="77777777" w:rsidR="00B30E7B" w:rsidRPr="00B30E7B" w:rsidRDefault="00B30E7B" w:rsidP="00B30E7B">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B30E7B">
              <w:rPr>
                <w:szCs w:val="18"/>
              </w:rPr>
              <w:t>2020</w:t>
            </w:r>
          </w:p>
          <w:p w14:paraId="64F27A7E" w14:textId="77777777" w:rsidR="00B30E7B" w:rsidRPr="00B30E7B" w:rsidRDefault="00B30E7B" w:rsidP="00B30E7B">
            <w:pPr>
              <w:pStyle w:val="TableParagraph"/>
              <w:jc w:val="right"/>
              <w:cnfStyle w:val="100000000000" w:firstRow="1" w:lastRow="0" w:firstColumn="0" w:lastColumn="0" w:oddVBand="0" w:evenVBand="0" w:oddHBand="0" w:evenHBand="0" w:firstRowFirstColumn="0" w:firstRowLastColumn="0" w:lastRowFirstColumn="0" w:lastRowLastColumn="0"/>
              <w:rPr>
                <w:szCs w:val="18"/>
              </w:rPr>
            </w:pPr>
            <w:r w:rsidRPr="00B30E7B">
              <w:rPr>
                <w:szCs w:val="18"/>
              </w:rPr>
              <w:t>£</w:t>
            </w:r>
          </w:p>
        </w:tc>
      </w:tr>
      <w:tr w:rsidR="00B30E7B" w:rsidRPr="00264C3D" w14:paraId="6B9947E6"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78B00864" w14:textId="5B5C3BE1" w:rsidR="00B30E7B" w:rsidRPr="00B30E7B" w:rsidRDefault="00B30E7B" w:rsidP="00B30E7B">
            <w:pPr>
              <w:pStyle w:val="TableParagraph"/>
              <w:rPr>
                <w:b w:val="0"/>
                <w:bCs w:val="0"/>
              </w:rPr>
            </w:pPr>
            <w:r w:rsidRPr="00B30E7B">
              <w:rPr>
                <w:b w:val="0"/>
                <w:bCs w:val="0"/>
              </w:rPr>
              <w:t xml:space="preserve">Afghanistan and Central Asian Association (ACAA) </w:t>
            </w:r>
          </w:p>
        </w:tc>
        <w:tc>
          <w:tcPr>
            <w:tcW w:w="1568" w:type="dxa"/>
            <w:vAlign w:val="center"/>
          </w:tcPr>
          <w:p w14:paraId="532B0950" w14:textId="18304CB6"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35111682" w14:textId="78E7406C"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14,873 </w:t>
            </w:r>
          </w:p>
        </w:tc>
      </w:tr>
      <w:tr w:rsidR="00B30E7B" w:rsidRPr="00264C3D" w14:paraId="5BF84576"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7268381D" w14:textId="7C721D1F" w:rsidR="00B30E7B" w:rsidRPr="00B30E7B" w:rsidRDefault="00B30E7B" w:rsidP="00B30E7B">
            <w:pPr>
              <w:pStyle w:val="TableParagraph"/>
              <w:rPr>
                <w:b w:val="0"/>
                <w:bCs w:val="0"/>
              </w:rPr>
            </w:pPr>
            <w:r w:rsidRPr="00B30E7B">
              <w:rPr>
                <w:b w:val="0"/>
                <w:bCs w:val="0"/>
              </w:rPr>
              <w:t xml:space="preserve">Baluji Music Foundation </w:t>
            </w:r>
          </w:p>
        </w:tc>
        <w:tc>
          <w:tcPr>
            <w:tcW w:w="1568" w:type="dxa"/>
            <w:vAlign w:val="center"/>
          </w:tcPr>
          <w:p w14:paraId="3E38E65C" w14:textId="0FFB9F0A"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27EA20C7" w14:textId="5A9F7402"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21,000 </w:t>
            </w:r>
          </w:p>
        </w:tc>
      </w:tr>
      <w:tr w:rsidR="00B30E7B" w:rsidRPr="00264C3D" w14:paraId="2EA7B3B6"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5E8DB188" w14:textId="40D42E2A" w:rsidR="00B30E7B" w:rsidRPr="00B30E7B" w:rsidRDefault="00B30E7B" w:rsidP="00B30E7B">
            <w:pPr>
              <w:pStyle w:val="TableParagraph"/>
              <w:rPr>
                <w:b w:val="0"/>
                <w:bCs w:val="0"/>
              </w:rPr>
            </w:pPr>
            <w:r w:rsidRPr="00B30E7B">
              <w:rPr>
                <w:b w:val="0"/>
                <w:bCs w:val="0"/>
              </w:rPr>
              <w:t xml:space="preserve">Blind in Business </w:t>
            </w:r>
          </w:p>
        </w:tc>
        <w:tc>
          <w:tcPr>
            <w:tcW w:w="1568" w:type="dxa"/>
            <w:vAlign w:val="center"/>
          </w:tcPr>
          <w:p w14:paraId="140144B1" w14:textId="4310E998"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10,000 </w:t>
            </w:r>
          </w:p>
        </w:tc>
        <w:tc>
          <w:tcPr>
            <w:tcW w:w="1568" w:type="dxa"/>
            <w:vAlign w:val="center"/>
          </w:tcPr>
          <w:p w14:paraId="0FB505AF" w14:textId="32325C8D"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20,000 </w:t>
            </w:r>
          </w:p>
        </w:tc>
      </w:tr>
      <w:tr w:rsidR="00B30E7B" w:rsidRPr="00264C3D" w14:paraId="477CE267"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72A61C3D" w14:textId="26FBDD7F" w:rsidR="00B30E7B" w:rsidRPr="00B30E7B" w:rsidRDefault="00B30E7B" w:rsidP="00B30E7B">
            <w:pPr>
              <w:pStyle w:val="TableParagraph"/>
              <w:rPr>
                <w:b w:val="0"/>
                <w:bCs w:val="0"/>
              </w:rPr>
            </w:pPr>
            <w:r w:rsidRPr="00B30E7B">
              <w:rPr>
                <w:b w:val="0"/>
                <w:bCs w:val="0"/>
              </w:rPr>
              <w:t xml:space="preserve">Blind Veterans UK </w:t>
            </w:r>
          </w:p>
        </w:tc>
        <w:tc>
          <w:tcPr>
            <w:tcW w:w="1568" w:type="dxa"/>
            <w:vAlign w:val="center"/>
          </w:tcPr>
          <w:p w14:paraId="222C7943" w14:textId="7ADE5770"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50,000 </w:t>
            </w:r>
          </w:p>
        </w:tc>
        <w:tc>
          <w:tcPr>
            <w:tcW w:w="1568" w:type="dxa"/>
            <w:vAlign w:val="center"/>
          </w:tcPr>
          <w:p w14:paraId="1F34CBD8" w14:textId="51154F4F"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 </w:t>
            </w:r>
          </w:p>
        </w:tc>
      </w:tr>
      <w:tr w:rsidR="00B30E7B" w:rsidRPr="00264C3D" w14:paraId="7C64F3DD"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1D066775" w14:textId="276D1B9E" w:rsidR="00B30E7B" w:rsidRPr="00B30E7B" w:rsidRDefault="00B30E7B" w:rsidP="00B30E7B">
            <w:pPr>
              <w:pStyle w:val="TableParagraph"/>
              <w:rPr>
                <w:b w:val="0"/>
                <w:bCs w:val="0"/>
              </w:rPr>
            </w:pPr>
            <w:r w:rsidRPr="00B30E7B">
              <w:rPr>
                <w:b w:val="0"/>
                <w:bCs w:val="0"/>
              </w:rPr>
              <w:t xml:space="preserve">Bromley District Talking News </w:t>
            </w:r>
          </w:p>
        </w:tc>
        <w:tc>
          <w:tcPr>
            <w:tcW w:w="1568" w:type="dxa"/>
            <w:vAlign w:val="center"/>
          </w:tcPr>
          <w:p w14:paraId="04F04740" w14:textId="3ECD611E"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10EA023F" w14:textId="39906B7B"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2,898 </w:t>
            </w:r>
          </w:p>
        </w:tc>
      </w:tr>
      <w:tr w:rsidR="00B30E7B" w:rsidRPr="00264C3D" w14:paraId="6B8D9306"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47EC6257" w14:textId="1FC94502" w:rsidR="00B30E7B" w:rsidRPr="00B30E7B" w:rsidRDefault="00B30E7B" w:rsidP="00B30E7B">
            <w:pPr>
              <w:pStyle w:val="TableParagraph"/>
              <w:rPr>
                <w:b w:val="0"/>
                <w:bCs w:val="0"/>
              </w:rPr>
            </w:pPr>
            <w:r w:rsidRPr="00B30E7B">
              <w:rPr>
                <w:b w:val="0"/>
                <w:bCs w:val="0"/>
              </w:rPr>
              <w:t xml:space="preserve">Community Enterprise East London </w:t>
            </w:r>
          </w:p>
        </w:tc>
        <w:tc>
          <w:tcPr>
            <w:tcW w:w="1568" w:type="dxa"/>
            <w:vAlign w:val="center"/>
          </w:tcPr>
          <w:p w14:paraId="52DD206A" w14:textId="6813986F"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08316F75" w14:textId="74782918"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4,980 </w:t>
            </w:r>
          </w:p>
        </w:tc>
      </w:tr>
      <w:tr w:rsidR="00B30E7B" w:rsidRPr="00264C3D" w14:paraId="73997718"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314E3DE0" w14:textId="07691195" w:rsidR="00B30E7B" w:rsidRPr="00B30E7B" w:rsidRDefault="00B30E7B" w:rsidP="00B30E7B">
            <w:pPr>
              <w:pStyle w:val="TableParagraph"/>
              <w:rPr>
                <w:b w:val="0"/>
                <w:bCs w:val="0"/>
              </w:rPr>
            </w:pPr>
            <w:r w:rsidRPr="00B30E7B">
              <w:rPr>
                <w:b w:val="0"/>
                <w:bCs w:val="0"/>
              </w:rPr>
              <w:t xml:space="preserve">Croydon Vision </w:t>
            </w:r>
          </w:p>
        </w:tc>
        <w:tc>
          <w:tcPr>
            <w:tcW w:w="1568" w:type="dxa"/>
            <w:vAlign w:val="center"/>
          </w:tcPr>
          <w:p w14:paraId="2E3A748B" w14:textId="52CBC0AD"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1395C454" w14:textId="40CD6EA3"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6,000 </w:t>
            </w:r>
          </w:p>
        </w:tc>
      </w:tr>
      <w:tr w:rsidR="00B30E7B" w:rsidRPr="00264C3D" w14:paraId="2188DE28"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0830389D" w14:textId="64D428EA" w:rsidR="00B30E7B" w:rsidRPr="00B30E7B" w:rsidRDefault="00B30E7B" w:rsidP="00B30E7B">
            <w:pPr>
              <w:pStyle w:val="TableParagraph"/>
              <w:rPr>
                <w:b w:val="0"/>
                <w:bCs w:val="0"/>
              </w:rPr>
            </w:pPr>
            <w:r w:rsidRPr="00B30E7B">
              <w:rPr>
                <w:b w:val="0"/>
                <w:bCs w:val="0"/>
              </w:rPr>
              <w:t xml:space="preserve">Deafblind UK </w:t>
            </w:r>
          </w:p>
        </w:tc>
        <w:tc>
          <w:tcPr>
            <w:tcW w:w="1568" w:type="dxa"/>
            <w:vAlign w:val="center"/>
          </w:tcPr>
          <w:p w14:paraId="3CF89B21" w14:textId="6DAB8B54"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28640E64" w14:textId="241A32DE"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7,500 </w:t>
            </w:r>
          </w:p>
        </w:tc>
      </w:tr>
      <w:tr w:rsidR="00B30E7B" w:rsidRPr="00264C3D" w14:paraId="638518CD"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1ABF777B" w14:textId="3A328428" w:rsidR="00B30E7B" w:rsidRPr="00B30E7B" w:rsidRDefault="00B30E7B" w:rsidP="00B30E7B">
            <w:pPr>
              <w:pStyle w:val="TableParagraph"/>
              <w:rPr>
                <w:b w:val="0"/>
                <w:bCs w:val="0"/>
              </w:rPr>
            </w:pPr>
            <w:r w:rsidRPr="00B30E7B">
              <w:rPr>
                <w:b w:val="0"/>
                <w:bCs w:val="0"/>
              </w:rPr>
              <w:t xml:space="preserve">Disability Advice Service Lambeth </w:t>
            </w:r>
          </w:p>
        </w:tc>
        <w:tc>
          <w:tcPr>
            <w:tcW w:w="1568" w:type="dxa"/>
            <w:vAlign w:val="center"/>
          </w:tcPr>
          <w:p w14:paraId="3E576015" w14:textId="690D1797"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49,979 </w:t>
            </w:r>
          </w:p>
        </w:tc>
        <w:tc>
          <w:tcPr>
            <w:tcW w:w="1568" w:type="dxa"/>
            <w:vAlign w:val="center"/>
          </w:tcPr>
          <w:p w14:paraId="390DDA86" w14:textId="1C1E2559"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4,997 </w:t>
            </w:r>
          </w:p>
        </w:tc>
      </w:tr>
      <w:tr w:rsidR="00B30E7B" w:rsidRPr="00264C3D" w14:paraId="1082B747"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04154D50" w14:textId="3F04C2A1" w:rsidR="00B30E7B" w:rsidRPr="00B30E7B" w:rsidRDefault="00B30E7B" w:rsidP="00B30E7B">
            <w:pPr>
              <w:pStyle w:val="TableParagraph"/>
              <w:rPr>
                <w:b w:val="0"/>
                <w:bCs w:val="0"/>
              </w:rPr>
            </w:pPr>
            <w:r w:rsidRPr="00B30E7B">
              <w:rPr>
                <w:b w:val="0"/>
                <w:bCs w:val="0"/>
              </w:rPr>
              <w:t xml:space="preserve">Extant </w:t>
            </w:r>
          </w:p>
        </w:tc>
        <w:tc>
          <w:tcPr>
            <w:tcW w:w="1568" w:type="dxa"/>
            <w:vAlign w:val="center"/>
          </w:tcPr>
          <w:p w14:paraId="4043AB90" w14:textId="364EE249"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7F19814F" w14:textId="4B8B91BC"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5,000 </w:t>
            </w:r>
          </w:p>
        </w:tc>
      </w:tr>
      <w:tr w:rsidR="00B30E7B" w:rsidRPr="00264C3D" w14:paraId="741111E5"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01BDD0C6" w14:textId="34AB7AFF" w:rsidR="00B30E7B" w:rsidRPr="00B30E7B" w:rsidRDefault="00B30E7B" w:rsidP="00B30E7B">
            <w:pPr>
              <w:pStyle w:val="TableParagraph"/>
              <w:rPr>
                <w:b w:val="0"/>
                <w:bCs w:val="0"/>
              </w:rPr>
            </w:pPr>
            <w:r w:rsidRPr="00B30E7B">
              <w:rPr>
                <w:b w:val="0"/>
                <w:bCs w:val="0"/>
              </w:rPr>
              <w:t xml:space="preserve">Eye Heroes </w:t>
            </w:r>
          </w:p>
        </w:tc>
        <w:tc>
          <w:tcPr>
            <w:tcW w:w="1568" w:type="dxa"/>
            <w:vAlign w:val="center"/>
          </w:tcPr>
          <w:p w14:paraId="69FEF553" w14:textId="0B4BC99D"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7516503C" w14:textId="4462C14C"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40,000 </w:t>
            </w:r>
          </w:p>
        </w:tc>
      </w:tr>
      <w:tr w:rsidR="00B30E7B" w:rsidRPr="00264C3D" w14:paraId="492135FB"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4DE86105" w14:textId="319A60AE" w:rsidR="00B30E7B" w:rsidRPr="00B30E7B" w:rsidRDefault="00B30E7B" w:rsidP="00B30E7B">
            <w:pPr>
              <w:pStyle w:val="TableParagraph"/>
              <w:rPr>
                <w:b w:val="0"/>
                <w:bCs w:val="0"/>
              </w:rPr>
            </w:pPr>
            <w:r w:rsidRPr="00B30E7B">
              <w:rPr>
                <w:b w:val="0"/>
                <w:bCs w:val="0"/>
              </w:rPr>
              <w:t xml:space="preserve">Jewish Care </w:t>
            </w:r>
          </w:p>
        </w:tc>
        <w:tc>
          <w:tcPr>
            <w:tcW w:w="1568" w:type="dxa"/>
            <w:vAlign w:val="center"/>
          </w:tcPr>
          <w:p w14:paraId="66DEED22" w14:textId="75823D43"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113C15E9" w14:textId="1B9E5EF2"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6,000 </w:t>
            </w:r>
          </w:p>
        </w:tc>
      </w:tr>
      <w:tr w:rsidR="00B30E7B" w:rsidRPr="00264C3D" w14:paraId="6797AD23"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1A20A9B7" w14:textId="0A7BB719" w:rsidR="00B30E7B" w:rsidRPr="00B30E7B" w:rsidRDefault="00B30E7B" w:rsidP="00B30E7B">
            <w:pPr>
              <w:pStyle w:val="TableParagraph"/>
              <w:rPr>
                <w:b w:val="0"/>
                <w:bCs w:val="0"/>
              </w:rPr>
            </w:pPr>
            <w:r w:rsidRPr="00B30E7B">
              <w:rPr>
                <w:b w:val="0"/>
                <w:bCs w:val="0"/>
              </w:rPr>
              <w:t xml:space="preserve">Kent Association for the Blind </w:t>
            </w:r>
          </w:p>
        </w:tc>
        <w:tc>
          <w:tcPr>
            <w:tcW w:w="1568" w:type="dxa"/>
            <w:vAlign w:val="center"/>
          </w:tcPr>
          <w:p w14:paraId="721B888D" w14:textId="20751A25"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9,700 </w:t>
            </w:r>
          </w:p>
        </w:tc>
        <w:tc>
          <w:tcPr>
            <w:tcW w:w="1568" w:type="dxa"/>
            <w:vAlign w:val="center"/>
          </w:tcPr>
          <w:p w14:paraId="25527678" w14:textId="25AD37B1"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7,500 </w:t>
            </w:r>
          </w:p>
        </w:tc>
      </w:tr>
      <w:tr w:rsidR="00B30E7B" w:rsidRPr="00264C3D" w14:paraId="1CF8CA53"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40DA05DC" w14:textId="472C0349" w:rsidR="00B30E7B" w:rsidRPr="00B30E7B" w:rsidRDefault="00B30E7B" w:rsidP="00B30E7B">
            <w:pPr>
              <w:pStyle w:val="TableParagraph"/>
              <w:rPr>
                <w:b w:val="0"/>
                <w:bCs w:val="0"/>
              </w:rPr>
            </w:pPr>
            <w:r w:rsidRPr="00B30E7B">
              <w:rPr>
                <w:b w:val="0"/>
                <w:bCs w:val="0"/>
              </w:rPr>
              <w:t xml:space="preserve">Kingston Upon Thames Association for the Blind * </w:t>
            </w:r>
          </w:p>
        </w:tc>
        <w:tc>
          <w:tcPr>
            <w:tcW w:w="1568" w:type="dxa"/>
            <w:vAlign w:val="center"/>
          </w:tcPr>
          <w:p w14:paraId="071FA337" w14:textId="4778B902"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318 </w:t>
            </w:r>
          </w:p>
        </w:tc>
        <w:tc>
          <w:tcPr>
            <w:tcW w:w="1568" w:type="dxa"/>
            <w:vAlign w:val="center"/>
          </w:tcPr>
          <w:p w14:paraId="63C523BC" w14:textId="013E499C"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 </w:t>
            </w:r>
          </w:p>
        </w:tc>
      </w:tr>
      <w:tr w:rsidR="00B30E7B" w:rsidRPr="00264C3D" w14:paraId="43FC60BE"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67F3DE37" w14:textId="7E86F31D" w:rsidR="00B30E7B" w:rsidRPr="00B30E7B" w:rsidRDefault="00B30E7B" w:rsidP="00B30E7B">
            <w:pPr>
              <w:pStyle w:val="TableParagraph"/>
              <w:rPr>
                <w:b w:val="0"/>
                <w:bCs w:val="0"/>
              </w:rPr>
            </w:pPr>
            <w:r w:rsidRPr="00B30E7B">
              <w:rPr>
                <w:b w:val="0"/>
                <w:bCs w:val="0"/>
              </w:rPr>
              <w:t xml:space="preserve">London Vision </w:t>
            </w:r>
          </w:p>
        </w:tc>
        <w:tc>
          <w:tcPr>
            <w:tcW w:w="1568" w:type="dxa"/>
            <w:vAlign w:val="center"/>
          </w:tcPr>
          <w:p w14:paraId="11A0C1F2" w14:textId="7D5E6B13"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8,890 </w:t>
            </w:r>
          </w:p>
        </w:tc>
        <w:tc>
          <w:tcPr>
            <w:tcW w:w="1568" w:type="dxa"/>
            <w:vAlign w:val="center"/>
          </w:tcPr>
          <w:p w14:paraId="5F3D0BD9" w14:textId="4D9AA403"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 </w:t>
            </w:r>
          </w:p>
        </w:tc>
      </w:tr>
      <w:tr w:rsidR="00B30E7B" w:rsidRPr="00264C3D" w14:paraId="664F7A52"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44183BDB" w14:textId="1A299972" w:rsidR="00B30E7B" w:rsidRPr="00B30E7B" w:rsidRDefault="00B30E7B" w:rsidP="00B30E7B">
            <w:pPr>
              <w:pStyle w:val="TableParagraph"/>
              <w:rPr>
                <w:b w:val="0"/>
                <w:bCs w:val="0"/>
              </w:rPr>
            </w:pPr>
            <w:r w:rsidRPr="00B30E7B">
              <w:rPr>
                <w:b w:val="0"/>
                <w:bCs w:val="0"/>
              </w:rPr>
              <w:t xml:space="preserve">Look UK </w:t>
            </w:r>
          </w:p>
        </w:tc>
        <w:tc>
          <w:tcPr>
            <w:tcW w:w="1568" w:type="dxa"/>
            <w:vAlign w:val="center"/>
          </w:tcPr>
          <w:p w14:paraId="70BD0A6F" w14:textId="2A3EA094"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1F464846" w14:textId="4092E5BA"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14,850 </w:t>
            </w:r>
          </w:p>
        </w:tc>
      </w:tr>
      <w:tr w:rsidR="00B30E7B" w:rsidRPr="00264C3D" w14:paraId="711872AC"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12149447" w14:textId="48F07245" w:rsidR="00B30E7B" w:rsidRPr="00B30E7B" w:rsidRDefault="00B30E7B" w:rsidP="00B30E7B">
            <w:pPr>
              <w:pStyle w:val="TableParagraph"/>
              <w:rPr>
                <w:b w:val="0"/>
                <w:bCs w:val="0"/>
              </w:rPr>
            </w:pPr>
            <w:r w:rsidRPr="00B30E7B">
              <w:rPr>
                <w:b w:val="0"/>
                <w:bCs w:val="0"/>
              </w:rPr>
              <w:t xml:space="preserve">Lunch Club Plus for the Blind </w:t>
            </w:r>
          </w:p>
        </w:tc>
        <w:tc>
          <w:tcPr>
            <w:tcW w:w="1568" w:type="dxa"/>
            <w:vAlign w:val="center"/>
          </w:tcPr>
          <w:p w14:paraId="3A891E44" w14:textId="3FA31E2A"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395AF291" w14:textId="5E83DF52"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8,000 </w:t>
            </w:r>
          </w:p>
        </w:tc>
      </w:tr>
      <w:tr w:rsidR="00B30E7B" w:rsidRPr="00264C3D" w14:paraId="2B75C82A"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51F4340F" w14:textId="4B5CA253" w:rsidR="00B30E7B" w:rsidRPr="00B30E7B" w:rsidRDefault="00B30E7B" w:rsidP="00B30E7B">
            <w:pPr>
              <w:pStyle w:val="TableParagraph"/>
              <w:rPr>
                <w:b w:val="0"/>
                <w:bCs w:val="0"/>
              </w:rPr>
            </w:pPr>
            <w:r w:rsidRPr="00B30E7B">
              <w:rPr>
                <w:b w:val="0"/>
                <w:bCs w:val="0"/>
              </w:rPr>
              <w:t xml:space="preserve">Macular Society </w:t>
            </w:r>
          </w:p>
        </w:tc>
        <w:tc>
          <w:tcPr>
            <w:tcW w:w="1568" w:type="dxa"/>
            <w:vAlign w:val="center"/>
          </w:tcPr>
          <w:p w14:paraId="207DFBCB" w14:textId="6FC90746"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9,990 </w:t>
            </w:r>
          </w:p>
        </w:tc>
        <w:tc>
          <w:tcPr>
            <w:tcW w:w="1568" w:type="dxa"/>
            <w:vAlign w:val="center"/>
          </w:tcPr>
          <w:p w14:paraId="1C315425" w14:textId="041B22F6"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 </w:t>
            </w:r>
          </w:p>
        </w:tc>
      </w:tr>
      <w:tr w:rsidR="00B30E7B" w:rsidRPr="00264C3D" w14:paraId="27BFE163"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608CB9FD" w14:textId="3BCC1B27" w:rsidR="00B30E7B" w:rsidRPr="00B30E7B" w:rsidRDefault="00B30E7B" w:rsidP="00B30E7B">
            <w:pPr>
              <w:pStyle w:val="TableParagraph"/>
              <w:rPr>
                <w:b w:val="0"/>
                <w:bCs w:val="0"/>
              </w:rPr>
            </w:pPr>
            <w:r w:rsidRPr="00B30E7B">
              <w:rPr>
                <w:b w:val="0"/>
                <w:bCs w:val="0"/>
              </w:rPr>
              <w:t xml:space="preserve">Merton Sports and Social Club </w:t>
            </w:r>
          </w:p>
        </w:tc>
        <w:tc>
          <w:tcPr>
            <w:tcW w:w="1568" w:type="dxa"/>
            <w:vAlign w:val="center"/>
          </w:tcPr>
          <w:p w14:paraId="11C80ABC" w14:textId="0E28F65A"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42509062" w14:textId="2018E680"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1,700 </w:t>
            </w:r>
          </w:p>
        </w:tc>
      </w:tr>
      <w:tr w:rsidR="00B30E7B" w:rsidRPr="00264C3D" w14:paraId="01AA7812"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07364805" w14:textId="203A6835" w:rsidR="00B30E7B" w:rsidRPr="00B30E7B" w:rsidRDefault="00B30E7B" w:rsidP="00B30E7B">
            <w:pPr>
              <w:pStyle w:val="TableParagraph"/>
              <w:rPr>
                <w:b w:val="0"/>
                <w:bCs w:val="0"/>
              </w:rPr>
            </w:pPr>
            <w:r w:rsidRPr="00B30E7B">
              <w:rPr>
                <w:b w:val="0"/>
                <w:bCs w:val="0"/>
              </w:rPr>
              <w:t xml:space="preserve">Merton Vision * </w:t>
            </w:r>
          </w:p>
        </w:tc>
        <w:tc>
          <w:tcPr>
            <w:tcW w:w="1568" w:type="dxa"/>
            <w:vAlign w:val="center"/>
          </w:tcPr>
          <w:p w14:paraId="48758C02" w14:textId="547FA027"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636 </w:t>
            </w:r>
          </w:p>
        </w:tc>
        <w:tc>
          <w:tcPr>
            <w:tcW w:w="1568" w:type="dxa"/>
            <w:vAlign w:val="center"/>
          </w:tcPr>
          <w:p w14:paraId="6088F84C" w14:textId="764F79A3"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 </w:t>
            </w:r>
          </w:p>
        </w:tc>
      </w:tr>
      <w:tr w:rsidR="00B30E7B" w:rsidRPr="00264C3D" w14:paraId="2E5C1F59"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03CCF2B4" w14:textId="7BBC8634" w:rsidR="00B30E7B" w:rsidRPr="00B30E7B" w:rsidRDefault="00B30E7B" w:rsidP="00B30E7B">
            <w:pPr>
              <w:pStyle w:val="TableParagraph"/>
              <w:rPr>
                <w:b w:val="0"/>
                <w:bCs w:val="0"/>
              </w:rPr>
            </w:pPr>
            <w:r w:rsidRPr="00B30E7B">
              <w:rPr>
                <w:b w:val="0"/>
                <w:bCs w:val="0"/>
              </w:rPr>
              <w:t xml:space="preserve">Metro Sports and Social Club </w:t>
            </w:r>
          </w:p>
        </w:tc>
        <w:tc>
          <w:tcPr>
            <w:tcW w:w="1568" w:type="dxa"/>
            <w:vAlign w:val="center"/>
          </w:tcPr>
          <w:p w14:paraId="6887A4A7" w14:textId="3F2FE09E"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43,890 </w:t>
            </w:r>
          </w:p>
        </w:tc>
        <w:tc>
          <w:tcPr>
            <w:tcW w:w="1568" w:type="dxa"/>
            <w:vAlign w:val="center"/>
          </w:tcPr>
          <w:p w14:paraId="36C49385" w14:textId="61FA6ACF"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 </w:t>
            </w:r>
          </w:p>
        </w:tc>
      </w:tr>
      <w:tr w:rsidR="00B30E7B" w:rsidRPr="00264C3D" w14:paraId="3821DCEA"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52FE637F" w14:textId="0A7567A3" w:rsidR="00B30E7B" w:rsidRPr="00B30E7B" w:rsidRDefault="00B30E7B" w:rsidP="00B30E7B">
            <w:pPr>
              <w:pStyle w:val="TableParagraph"/>
              <w:rPr>
                <w:b w:val="0"/>
                <w:bCs w:val="0"/>
              </w:rPr>
            </w:pPr>
            <w:r w:rsidRPr="00B30E7B">
              <w:rPr>
                <w:b w:val="0"/>
                <w:bCs w:val="0"/>
              </w:rPr>
              <w:lastRenderedPageBreak/>
              <w:t xml:space="preserve">Middlesex Association for the Blind </w:t>
            </w:r>
          </w:p>
        </w:tc>
        <w:tc>
          <w:tcPr>
            <w:tcW w:w="1568" w:type="dxa"/>
            <w:vAlign w:val="center"/>
          </w:tcPr>
          <w:p w14:paraId="043BD7C8" w14:textId="2AC8EF2E"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06D1C291" w14:textId="5EE06622"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10,000 </w:t>
            </w:r>
          </w:p>
        </w:tc>
      </w:tr>
      <w:tr w:rsidR="00B30E7B" w:rsidRPr="00264C3D" w14:paraId="768C562F"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0624C53E" w14:textId="55159DAC" w:rsidR="00B30E7B" w:rsidRPr="00B30E7B" w:rsidRDefault="00B30E7B" w:rsidP="00B30E7B">
            <w:pPr>
              <w:pStyle w:val="TableParagraph"/>
              <w:rPr>
                <w:b w:val="0"/>
                <w:bCs w:val="0"/>
              </w:rPr>
            </w:pPr>
            <w:r w:rsidRPr="00B30E7B">
              <w:rPr>
                <w:b w:val="0"/>
                <w:bCs w:val="0"/>
              </w:rPr>
              <w:t xml:space="preserve">Mixed Martial Arts for Reform </w:t>
            </w:r>
            <w:proofErr w:type="gramStart"/>
            <w:r w:rsidRPr="00B30E7B">
              <w:rPr>
                <w:b w:val="0"/>
                <w:bCs w:val="0"/>
              </w:rPr>
              <w:t>And</w:t>
            </w:r>
            <w:proofErr w:type="gramEnd"/>
            <w:r w:rsidRPr="00B30E7B">
              <w:rPr>
                <w:b w:val="0"/>
                <w:bCs w:val="0"/>
              </w:rPr>
              <w:t xml:space="preserve"> Progression  </w:t>
            </w:r>
          </w:p>
        </w:tc>
        <w:tc>
          <w:tcPr>
            <w:tcW w:w="1568" w:type="dxa"/>
            <w:vAlign w:val="center"/>
          </w:tcPr>
          <w:p w14:paraId="4BAF92E5" w14:textId="798C931F"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29A33DF3" w14:textId="61BB0582"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19,914 </w:t>
            </w:r>
          </w:p>
        </w:tc>
      </w:tr>
      <w:tr w:rsidR="00B30E7B" w:rsidRPr="00264C3D" w14:paraId="7F5F12BD"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00D35126" w14:textId="394EB7EF" w:rsidR="00B30E7B" w:rsidRPr="00B30E7B" w:rsidRDefault="00B30E7B" w:rsidP="00B30E7B">
            <w:pPr>
              <w:pStyle w:val="TableParagraph"/>
              <w:rPr>
                <w:b w:val="0"/>
                <w:bCs w:val="0"/>
              </w:rPr>
            </w:pPr>
            <w:r w:rsidRPr="00B30E7B">
              <w:rPr>
                <w:b w:val="0"/>
                <w:bCs w:val="0"/>
              </w:rPr>
              <w:t xml:space="preserve">Mousetrap Theatre </w:t>
            </w:r>
          </w:p>
        </w:tc>
        <w:tc>
          <w:tcPr>
            <w:tcW w:w="1568" w:type="dxa"/>
            <w:vAlign w:val="center"/>
          </w:tcPr>
          <w:p w14:paraId="45DCCCE3" w14:textId="20F4FD2E"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42ACEF24" w14:textId="5ECF404A"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6,000 </w:t>
            </w:r>
          </w:p>
        </w:tc>
      </w:tr>
      <w:tr w:rsidR="00B30E7B" w:rsidRPr="00264C3D" w14:paraId="4F3A075F"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7D5ED49E" w14:textId="1BF32D9C" w:rsidR="00B30E7B" w:rsidRPr="00B30E7B" w:rsidRDefault="00B30E7B" w:rsidP="00B30E7B">
            <w:pPr>
              <w:pStyle w:val="TableParagraph"/>
              <w:rPr>
                <w:b w:val="0"/>
                <w:bCs w:val="0"/>
              </w:rPr>
            </w:pPr>
            <w:proofErr w:type="spellStart"/>
            <w:r w:rsidRPr="00B30E7B">
              <w:rPr>
                <w:b w:val="0"/>
                <w:bCs w:val="0"/>
              </w:rPr>
              <w:t>Panathlon</w:t>
            </w:r>
            <w:proofErr w:type="spellEnd"/>
            <w:r w:rsidRPr="00B30E7B">
              <w:rPr>
                <w:b w:val="0"/>
                <w:bCs w:val="0"/>
              </w:rPr>
              <w:t xml:space="preserve"> </w:t>
            </w:r>
          </w:p>
        </w:tc>
        <w:tc>
          <w:tcPr>
            <w:tcW w:w="1568" w:type="dxa"/>
            <w:vAlign w:val="center"/>
          </w:tcPr>
          <w:p w14:paraId="3A0FAA42" w14:textId="71A19D5B"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06037F5F" w14:textId="4FE23E95"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6,000 </w:t>
            </w:r>
          </w:p>
        </w:tc>
      </w:tr>
      <w:tr w:rsidR="00B30E7B" w:rsidRPr="00264C3D" w14:paraId="664AF179"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47692612" w14:textId="5B296EB8" w:rsidR="00B30E7B" w:rsidRPr="00B30E7B" w:rsidRDefault="00B30E7B" w:rsidP="00B30E7B">
            <w:pPr>
              <w:pStyle w:val="TableParagraph"/>
              <w:rPr>
                <w:b w:val="0"/>
                <w:bCs w:val="0"/>
              </w:rPr>
            </w:pPr>
            <w:r w:rsidRPr="00B30E7B">
              <w:rPr>
                <w:b w:val="0"/>
                <w:bCs w:val="0"/>
              </w:rPr>
              <w:t xml:space="preserve">QCCA (Queens Crescent Community Association)  </w:t>
            </w:r>
          </w:p>
        </w:tc>
        <w:tc>
          <w:tcPr>
            <w:tcW w:w="1568" w:type="dxa"/>
            <w:vAlign w:val="center"/>
          </w:tcPr>
          <w:p w14:paraId="27E65EE0" w14:textId="601EAF7B"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4BD28526" w14:textId="3587C2F4"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20,000 </w:t>
            </w:r>
          </w:p>
        </w:tc>
      </w:tr>
      <w:tr w:rsidR="00B30E7B" w:rsidRPr="00264C3D" w14:paraId="3F1F4271"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0039B9A2" w14:textId="5F8979C2" w:rsidR="00B30E7B" w:rsidRPr="00B30E7B" w:rsidRDefault="00B30E7B" w:rsidP="00B30E7B">
            <w:pPr>
              <w:pStyle w:val="TableParagraph"/>
              <w:rPr>
                <w:b w:val="0"/>
                <w:bCs w:val="0"/>
              </w:rPr>
            </w:pPr>
            <w:r w:rsidRPr="00B30E7B">
              <w:rPr>
                <w:b w:val="0"/>
                <w:bCs w:val="0"/>
              </w:rPr>
              <w:t xml:space="preserve">RNIB </w:t>
            </w:r>
          </w:p>
        </w:tc>
        <w:tc>
          <w:tcPr>
            <w:tcW w:w="1568" w:type="dxa"/>
            <w:vAlign w:val="center"/>
          </w:tcPr>
          <w:p w14:paraId="41932177" w14:textId="143EF29B"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4477B31D" w14:textId="344EE8E7"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10,000 </w:t>
            </w:r>
          </w:p>
        </w:tc>
      </w:tr>
      <w:tr w:rsidR="00B30E7B" w:rsidRPr="00264C3D" w14:paraId="36ED91B9"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2D44B9E6" w14:textId="3810FD6A" w:rsidR="00B30E7B" w:rsidRPr="00B30E7B" w:rsidRDefault="00B30E7B" w:rsidP="00B30E7B">
            <w:pPr>
              <w:pStyle w:val="TableParagraph"/>
              <w:rPr>
                <w:b w:val="0"/>
                <w:bCs w:val="0"/>
              </w:rPr>
            </w:pPr>
            <w:proofErr w:type="spellStart"/>
            <w:r w:rsidRPr="00B30E7B">
              <w:rPr>
                <w:b w:val="0"/>
                <w:bCs w:val="0"/>
              </w:rPr>
              <w:t>SeeAbility</w:t>
            </w:r>
            <w:proofErr w:type="spellEnd"/>
            <w:r w:rsidRPr="00B30E7B">
              <w:rPr>
                <w:b w:val="0"/>
                <w:bCs w:val="0"/>
              </w:rPr>
              <w:t xml:space="preserve"> </w:t>
            </w:r>
          </w:p>
        </w:tc>
        <w:tc>
          <w:tcPr>
            <w:tcW w:w="1568" w:type="dxa"/>
            <w:vAlign w:val="center"/>
          </w:tcPr>
          <w:p w14:paraId="409C8605" w14:textId="4DEDCD85"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50,000 </w:t>
            </w:r>
          </w:p>
        </w:tc>
        <w:tc>
          <w:tcPr>
            <w:tcW w:w="1568" w:type="dxa"/>
            <w:vAlign w:val="center"/>
          </w:tcPr>
          <w:p w14:paraId="4FCE4302" w14:textId="5249ACB9"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20,000 </w:t>
            </w:r>
          </w:p>
        </w:tc>
      </w:tr>
      <w:tr w:rsidR="00B30E7B" w:rsidRPr="00264C3D" w14:paraId="238ACA3F"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6389EE4A" w14:textId="7ED6A199" w:rsidR="00B30E7B" w:rsidRPr="00B30E7B" w:rsidRDefault="00B30E7B" w:rsidP="00B30E7B">
            <w:pPr>
              <w:pStyle w:val="TableParagraph"/>
              <w:rPr>
                <w:b w:val="0"/>
                <w:bCs w:val="0"/>
              </w:rPr>
            </w:pPr>
            <w:r w:rsidRPr="00B30E7B">
              <w:rPr>
                <w:b w:val="0"/>
                <w:bCs w:val="0"/>
              </w:rPr>
              <w:t xml:space="preserve">Sense </w:t>
            </w:r>
          </w:p>
        </w:tc>
        <w:tc>
          <w:tcPr>
            <w:tcW w:w="1568" w:type="dxa"/>
            <w:vAlign w:val="center"/>
          </w:tcPr>
          <w:p w14:paraId="3D877509" w14:textId="36F23D69"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10A1A02E" w14:textId="6F7427FF"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15,000 </w:t>
            </w:r>
          </w:p>
        </w:tc>
      </w:tr>
      <w:tr w:rsidR="00B30E7B" w:rsidRPr="00264C3D" w14:paraId="501ABDD0"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1E7D9BF2" w14:textId="0B025F79" w:rsidR="00B30E7B" w:rsidRPr="00B30E7B" w:rsidRDefault="00B30E7B" w:rsidP="00B30E7B">
            <w:pPr>
              <w:pStyle w:val="TableParagraph"/>
              <w:rPr>
                <w:b w:val="0"/>
                <w:bCs w:val="0"/>
              </w:rPr>
            </w:pPr>
            <w:r w:rsidRPr="00B30E7B">
              <w:rPr>
                <w:b w:val="0"/>
                <w:bCs w:val="0"/>
              </w:rPr>
              <w:t xml:space="preserve">Sight for Surrey </w:t>
            </w:r>
          </w:p>
        </w:tc>
        <w:tc>
          <w:tcPr>
            <w:tcW w:w="1568" w:type="dxa"/>
            <w:vAlign w:val="center"/>
          </w:tcPr>
          <w:p w14:paraId="53D44A36" w14:textId="062AB3AC"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122FD568" w14:textId="562F45F7"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10,000 </w:t>
            </w:r>
          </w:p>
        </w:tc>
      </w:tr>
      <w:tr w:rsidR="00B30E7B" w:rsidRPr="00264C3D" w14:paraId="1BD56FE4"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2CF0B5E5" w14:textId="75156637" w:rsidR="00B30E7B" w:rsidRPr="00B30E7B" w:rsidRDefault="00B30E7B" w:rsidP="00B30E7B">
            <w:pPr>
              <w:pStyle w:val="TableParagraph"/>
              <w:rPr>
                <w:b w:val="0"/>
                <w:bCs w:val="0"/>
              </w:rPr>
            </w:pPr>
            <w:r w:rsidRPr="00B30E7B">
              <w:rPr>
                <w:b w:val="0"/>
                <w:bCs w:val="0"/>
              </w:rPr>
              <w:t xml:space="preserve">Sutton Vision </w:t>
            </w:r>
          </w:p>
        </w:tc>
        <w:tc>
          <w:tcPr>
            <w:tcW w:w="1568" w:type="dxa"/>
            <w:vAlign w:val="center"/>
          </w:tcPr>
          <w:p w14:paraId="297EEA29" w14:textId="2F3B8EC0"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9,500 </w:t>
            </w:r>
          </w:p>
        </w:tc>
        <w:tc>
          <w:tcPr>
            <w:tcW w:w="1568" w:type="dxa"/>
            <w:vAlign w:val="center"/>
          </w:tcPr>
          <w:p w14:paraId="04E9E3D1" w14:textId="6E9BF6F5"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15,000 </w:t>
            </w:r>
          </w:p>
        </w:tc>
      </w:tr>
      <w:tr w:rsidR="00B30E7B" w:rsidRPr="00264C3D" w14:paraId="541FD12A"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663242AF" w14:textId="50FF5433" w:rsidR="00B30E7B" w:rsidRPr="00B30E7B" w:rsidRDefault="00B30E7B" w:rsidP="00B30E7B">
            <w:pPr>
              <w:pStyle w:val="TableParagraph"/>
              <w:rPr>
                <w:b w:val="0"/>
                <w:bCs w:val="0"/>
              </w:rPr>
            </w:pPr>
            <w:r w:rsidRPr="00B30E7B">
              <w:rPr>
                <w:b w:val="0"/>
                <w:bCs w:val="0"/>
              </w:rPr>
              <w:t xml:space="preserve">Talking News Islington </w:t>
            </w:r>
          </w:p>
        </w:tc>
        <w:tc>
          <w:tcPr>
            <w:tcW w:w="1568" w:type="dxa"/>
            <w:vAlign w:val="center"/>
          </w:tcPr>
          <w:p w14:paraId="31353101" w14:textId="1AE0173F"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60A5CFC0" w14:textId="705E1A39"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2,000 </w:t>
            </w:r>
          </w:p>
        </w:tc>
      </w:tr>
      <w:tr w:rsidR="00B30E7B" w:rsidRPr="00264C3D" w14:paraId="647A00F6"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63A81EFC" w14:textId="6E4E0B0E" w:rsidR="00B30E7B" w:rsidRPr="00B30E7B" w:rsidRDefault="00B30E7B" w:rsidP="00B30E7B">
            <w:pPr>
              <w:pStyle w:val="TableParagraph"/>
              <w:rPr>
                <w:b w:val="0"/>
                <w:bCs w:val="0"/>
              </w:rPr>
            </w:pPr>
            <w:r w:rsidRPr="00B30E7B">
              <w:rPr>
                <w:b w:val="0"/>
                <w:bCs w:val="0"/>
              </w:rPr>
              <w:t xml:space="preserve">The Amber Trust </w:t>
            </w:r>
          </w:p>
        </w:tc>
        <w:tc>
          <w:tcPr>
            <w:tcW w:w="1568" w:type="dxa"/>
            <w:vAlign w:val="center"/>
          </w:tcPr>
          <w:p w14:paraId="43B98483" w14:textId="21E887E8"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3F1D5CB2" w14:textId="6520FB69"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13,560 </w:t>
            </w:r>
          </w:p>
        </w:tc>
      </w:tr>
      <w:tr w:rsidR="00B30E7B" w:rsidRPr="00264C3D" w14:paraId="60578F3B"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3783D793" w14:textId="430B12D2" w:rsidR="00B30E7B" w:rsidRPr="00B30E7B" w:rsidRDefault="00B30E7B" w:rsidP="00B30E7B">
            <w:pPr>
              <w:pStyle w:val="TableParagraph"/>
              <w:rPr>
                <w:b w:val="0"/>
                <w:bCs w:val="0"/>
              </w:rPr>
            </w:pPr>
            <w:r w:rsidRPr="00B30E7B">
              <w:rPr>
                <w:b w:val="0"/>
                <w:bCs w:val="0"/>
              </w:rPr>
              <w:t xml:space="preserve">The Change Foundation </w:t>
            </w:r>
          </w:p>
        </w:tc>
        <w:tc>
          <w:tcPr>
            <w:tcW w:w="1568" w:type="dxa"/>
            <w:vAlign w:val="center"/>
          </w:tcPr>
          <w:p w14:paraId="57F2060E" w14:textId="70B295B6"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7ADF3740" w14:textId="3D59CAFA"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15,000 </w:t>
            </w:r>
          </w:p>
        </w:tc>
      </w:tr>
      <w:tr w:rsidR="00B30E7B" w:rsidRPr="00264C3D" w14:paraId="4F3B5E89"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1A1EA360" w14:textId="1ADDCA26" w:rsidR="00B30E7B" w:rsidRPr="00B30E7B" w:rsidRDefault="00B30E7B" w:rsidP="00B30E7B">
            <w:pPr>
              <w:pStyle w:val="TableParagraph"/>
              <w:rPr>
                <w:b w:val="0"/>
                <w:bCs w:val="0"/>
              </w:rPr>
            </w:pPr>
            <w:r w:rsidRPr="00B30E7B">
              <w:rPr>
                <w:b w:val="0"/>
                <w:bCs w:val="0"/>
              </w:rPr>
              <w:t xml:space="preserve">The Photographer's Gallery </w:t>
            </w:r>
          </w:p>
        </w:tc>
        <w:tc>
          <w:tcPr>
            <w:tcW w:w="1568" w:type="dxa"/>
            <w:vAlign w:val="center"/>
          </w:tcPr>
          <w:p w14:paraId="246E64A8" w14:textId="0E265D6F"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5,800 </w:t>
            </w:r>
          </w:p>
        </w:tc>
        <w:tc>
          <w:tcPr>
            <w:tcW w:w="1568" w:type="dxa"/>
            <w:vAlign w:val="center"/>
          </w:tcPr>
          <w:p w14:paraId="3A183F26" w14:textId="38CCBEE0"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 </w:t>
            </w:r>
          </w:p>
        </w:tc>
      </w:tr>
      <w:tr w:rsidR="00B30E7B" w:rsidRPr="00264C3D" w14:paraId="08F76475"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5402B4FC" w14:textId="49A0CEB3" w:rsidR="00B30E7B" w:rsidRPr="00B30E7B" w:rsidRDefault="00B30E7B" w:rsidP="00B30E7B">
            <w:pPr>
              <w:pStyle w:val="TableParagraph"/>
              <w:rPr>
                <w:b w:val="0"/>
                <w:bCs w:val="0"/>
              </w:rPr>
            </w:pPr>
            <w:r w:rsidRPr="00B30E7B">
              <w:rPr>
                <w:b w:val="0"/>
                <w:bCs w:val="0"/>
              </w:rPr>
              <w:t xml:space="preserve">The Royal Society for Blind Children </w:t>
            </w:r>
          </w:p>
        </w:tc>
        <w:tc>
          <w:tcPr>
            <w:tcW w:w="1568" w:type="dxa"/>
            <w:vAlign w:val="center"/>
          </w:tcPr>
          <w:p w14:paraId="06E60DD4" w14:textId="70DB179B"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47,450 </w:t>
            </w:r>
          </w:p>
        </w:tc>
        <w:tc>
          <w:tcPr>
            <w:tcW w:w="1568" w:type="dxa"/>
            <w:vAlign w:val="center"/>
          </w:tcPr>
          <w:p w14:paraId="42AD2F2B" w14:textId="21C359FD"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 </w:t>
            </w:r>
          </w:p>
        </w:tc>
      </w:tr>
      <w:tr w:rsidR="00B30E7B" w:rsidRPr="00264C3D" w14:paraId="254D348E"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15D59C32" w14:textId="39267A07" w:rsidR="00B30E7B" w:rsidRPr="00B30E7B" w:rsidRDefault="00B30E7B" w:rsidP="00B30E7B">
            <w:pPr>
              <w:pStyle w:val="TableParagraph"/>
              <w:rPr>
                <w:b w:val="0"/>
                <w:bCs w:val="0"/>
              </w:rPr>
            </w:pPr>
            <w:r w:rsidRPr="00B30E7B">
              <w:rPr>
                <w:b w:val="0"/>
                <w:bCs w:val="0"/>
              </w:rPr>
              <w:t xml:space="preserve">Time and Talents </w:t>
            </w:r>
          </w:p>
        </w:tc>
        <w:tc>
          <w:tcPr>
            <w:tcW w:w="1568" w:type="dxa"/>
            <w:vAlign w:val="center"/>
          </w:tcPr>
          <w:p w14:paraId="3ED5ECC7" w14:textId="20257C90"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2FE95421" w14:textId="5E6004BE"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22,000 </w:t>
            </w:r>
          </w:p>
        </w:tc>
      </w:tr>
      <w:tr w:rsidR="00B30E7B" w:rsidRPr="00264C3D" w14:paraId="075E8C77"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1DE5F8C4" w14:textId="14241F95" w:rsidR="00B30E7B" w:rsidRPr="00B30E7B" w:rsidRDefault="00B30E7B" w:rsidP="00B30E7B">
            <w:pPr>
              <w:pStyle w:val="TableParagraph"/>
              <w:rPr>
                <w:b w:val="0"/>
                <w:bCs w:val="0"/>
              </w:rPr>
            </w:pPr>
            <w:r w:rsidRPr="00B30E7B">
              <w:rPr>
                <w:b w:val="0"/>
                <w:bCs w:val="0"/>
              </w:rPr>
              <w:t xml:space="preserve">Timebank UK </w:t>
            </w:r>
          </w:p>
        </w:tc>
        <w:tc>
          <w:tcPr>
            <w:tcW w:w="1568" w:type="dxa"/>
            <w:vAlign w:val="center"/>
          </w:tcPr>
          <w:p w14:paraId="1A852E21" w14:textId="59285F7A"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024760F0" w14:textId="24A2D1F4"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 xml:space="preserve">16,000 </w:t>
            </w:r>
          </w:p>
        </w:tc>
      </w:tr>
      <w:tr w:rsidR="00B30E7B" w:rsidRPr="00264C3D" w14:paraId="18493597"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513F6A54" w14:textId="48DC6414" w:rsidR="00B30E7B" w:rsidRPr="00B30E7B" w:rsidRDefault="00B30E7B" w:rsidP="00B30E7B">
            <w:pPr>
              <w:pStyle w:val="TableParagraph"/>
              <w:rPr>
                <w:b w:val="0"/>
                <w:bCs w:val="0"/>
              </w:rPr>
            </w:pPr>
            <w:r w:rsidRPr="00B30E7B">
              <w:rPr>
                <w:b w:val="0"/>
                <w:bCs w:val="0"/>
              </w:rPr>
              <w:t xml:space="preserve">University of Birmingham </w:t>
            </w:r>
          </w:p>
        </w:tc>
        <w:tc>
          <w:tcPr>
            <w:tcW w:w="1568" w:type="dxa"/>
            <w:vAlign w:val="center"/>
          </w:tcPr>
          <w:p w14:paraId="08DEF2B9" w14:textId="7CE3A9E0"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17,452 </w:t>
            </w:r>
          </w:p>
        </w:tc>
        <w:tc>
          <w:tcPr>
            <w:tcW w:w="1568" w:type="dxa"/>
            <w:vAlign w:val="center"/>
          </w:tcPr>
          <w:p w14:paraId="6C126212" w14:textId="155D4AD2"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 </w:t>
            </w:r>
          </w:p>
        </w:tc>
      </w:tr>
      <w:tr w:rsidR="00B30E7B" w:rsidRPr="00264C3D" w14:paraId="3F411334"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4B99AECE" w14:textId="49F84202" w:rsidR="00B30E7B" w:rsidRPr="00B30E7B" w:rsidRDefault="00B30E7B" w:rsidP="00B30E7B">
            <w:pPr>
              <w:pStyle w:val="TableParagraph"/>
              <w:rPr>
                <w:b w:val="0"/>
                <w:bCs w:val="0"/>
              </w:rPr>
            </w:pPr>
            <w:r w:rsidRPr="00B30E7B">
              <w:rPr>
                <w:b w:val="0"/>
                <w:bCs w:val="0"/>
              </w:rPr>
              <w:t>Wood Street Wall CIC</w:t>
            </w:r>
          </w:p>
        </w:tc>
        <w:tc>
          <w:tcPr>
            <w:tcW w:w="1568" w:type="dxa"/>
            <w:vAlign w:val="center"/>
          </w:tcPr>
          <w:p w14:paraId="61D40394" w14:textId="44F8FF6B"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 xml:space="preserve">- </w:t>
            </w:r>
          </w:p>
        </w:tc>
        <w:tc>
          <w:tcPr>
            <w:tcW w:w="1568" w:type="dxa"/>
            <w:vAlign w:val="center"/>
          </w:tcPr>
          <w:p w14:paraId="1D9A3071" w14:textId="7DF50B31"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B30E7B">
              <w:rPr>
                <w:szCs w:val="18"/>
              </w:rPr>
              <w:t>6,000</w:t>
            </w:r>
          </w:p>
        </w:tc>
      </w:tr>
      <w:tr w:rsidR="00B30E7B" w:rsidRPr="00264C3D" w14:paraId="6AF0523B" w14:textId="77777777" w:rsidTr="00E17A1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3E8A758D" w14:textId="7C3D1A0B" w:rsidR="00B30E7B" w:rsidRPr="00B30E7B" w:rsidRDefault="00B30E7B" w:rsidP="00B30E7B">
            <w:pPr>
              <w:pStyle w:val="TableParagraph"/>
              <w:rPr>
                <w:b w:val="0"/>
                <w:bCs w:val="0"/>
              </w:rPr>
            </w:pPr>
          </w:p>
        </w:tc>
        <w:tc>
          <w:tcPr>
            <w:tcW w:w="1568" w:type="dxa"/>
            <w:tcBorders>
              <w:bottom w:val="single" w:sz="4" w:space="0" w:color="auto"/>
            </w:tcBorders>
            <w:vAlign w:val="center"/>
          </w:tcPr>
          <w:p w14:paraId="60CC7CE2" w14:textId="72A0CAA3"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B30E7B">
              <w:rPr>
                <w:b/>
                <w:bCs/>
                <w:szCs w:val="18"/>
              </w:rPr>
              <w:t xml:space="preserve"> </w:t>
            </w:r>
          </w:p>
        </w:tc>
        <w:tc>
          <w:tcPr>
            <w:tcW w:w="1568" w:type="dxa"/>
            <w:tcBorders>
              <w:bottom w:val="single" w:sz="4" w:space="0" w:color="auto"/>
            </w:tcBorders>
            <w:vAlign w:val="center"/>
          </w:tcPr>
          <w:p w14:paraId="1FDFE210" w14:textId="7018F883" w:rsidR="00B30E7B" w:rsidRPr="00B30E7B" w:rsidRDefault="00B30E7B" w:rsidP="00B30E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B30E7B">
              <w:rPr>
                <w:szCs w:val="18"/>
              </w:rPr>
              <w:t xml:space="preserve"> </w:t>
            </w:r>
          </w:p>
        </w:tc>
      </w:tr>
      <w:tr w:rsidR="00B30E7B" w:rsidRPr="00264C3D" w14:paraId="0F5F7757" w14:textId="77777777" w:rsidTr="00E17A11">
        <w:trPr>
          <w:trHeight w:val="274"/>
        </w:trPr>
        <w:tc>
          <w:tcPr>
            <w:cnfStyle w:val="001000000000" w:firstRow="0" w:lastRow="0" w:firstColumn="1" w:lastColumn="0" w:oddVBand="0" w:evenVBand="0" w:oddHBand="0" w:evenHBand="0" w:firstRowFirstColumn="0" w:firstRowLastColumn="0" w:lastRowFirstColumn="0" w:lastRowLastColumn="0"/>
            <w:tcW w:w="5466" w:type="dxa"/>
            <w:vAlign w:val="center"/>
          </w:tcPr>
          <w:p w14:paraId="52FC328F" w14:textId="5AD52DDB" w:rsidR="00B30E7B" w:rsidRPr="00B30E7B" w:rsidRDefault="00B30E7B" w:rsidP="00B30E7B">
            <w:pPr>
              <w:pStyle w:val="TableParagraph"/>
              <w:rPr>
                <w:b w:val="0"/>
                <w:bCs w:val="0"/>
              </w:rPr>
            </w:pPr>
            <w:r w:rsidRPr="00B30E7B">
              <w:rPr>
                <w:b w:val="0"/>
                <w:bCs w:val="0"/>
              </w:rPr>
              <w:t>Total</w:t>
            </w:r>
          </w:p>
        </w:tc>
        <w:tc>
          <w:tcPr>
            <w:tcW w:w="1568" w:type="dxa"/>
            <w:tcBorders>
              <w:top w:val="single" w:sz="4" w:space="0" w:color="auto"/>
              <w:bottom w:val="single" w:sz="4" w:space="0" w:color="auto"/>
            </w:tcBorders>
            <w:vAlign w:val="center"/>
          </w:tcPr>
          <w:p w14:paraId="302C7550" w14:textId="31D4C74B"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b/>
                <w:bCs/>
                <w:szCs w:val="18"/>
              </w:rPr>
            </w:pPr>
            <w:r w:rsidRPr="00B30E7B">
              <w:rPr>
                <w:b/>
                <w:bCs/>
                <w:szCs w:val="18"/>
              </w:rPr>
              <w:t>313,605</w:t>
            </w:r>
          </w:p>
        </w:tc>
        <w:tc>
          <w:tcPr>
            <w:tcW w:w="1568" w:type="dxa"/>
            <w:tcBorders>
              <w:top w:val="single" w:sz="4" w:space="0" w:color="auto"/>
              <w:bottom w:val="single" w:sz="4" w:space="0" w:color="auto"/>
            </w:tcBorders>
            <w:vAlign w:val="center"/>
          </w:tcPr>
          <w:p w14:paraId="349D3DFA" w14:textId="0C675126" w:rsidR="00B30E7B" w:rsidRPr="00B30E7B" w:rsidRDefault="00B30E7B" w:rsidP="00B30E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Pr>
                <w:szCs w:val="18"/>
              </w:rPr>
              <w:t>371,772</w:t>
            </w:r>
          </w:p>
        </w:tc>
      </w:tr>
    </w:tbl>
    <w:tbl>
      <w:tblPr>
        <w:tblW w:w="11906" w:type="dxa"/>
        <w:tblInd w:w="-108" w:type="dxa"/>
        <w:tblBorders>
          <w:top w:val="nil"/>
          <w:left w:val="nil"/>
          <w:bottom w:val="nil"/>
          <w:right w:val="nil"/>
        </w:tblBorders>
        <w:tblLayout w:type="fixed"/>
        <w:tblLook w:val="0000" w:firstRow="0" w:lastRow="0" w:firstColumn="0" w:lastColumn="0" w:noHBand="0" w:noVBand="0"/>
      </w:tblPr>
      <w:tblGrid>
        <w:gridCol w:w="11906"/>
      </w:tblGrid>
      <w:tr w:rsidR="00B30E7B" w14:paraId="2AEB0AC8" w14:textId="77777777" w:rsidTr="00B30E7B">
        <w:trPr>
          <w:trHeight w:val="101"/>
        </w:trPr>
        <w:tc>
          <w:tcPr>
            <w:tcW w:w="11906" w:type="dxa"/>
          </w:tcPr>
          <w:p w14:paraId="18189AF3" w14:textId="77777777" w:rsidR="00B30E7B" w:rsidRDefault="00B30E7B">
            <w:pPr>
              <w:pStyle w:val="Default"/>
              <w:rPr>
                <w:sz w:val="15"/>
                <w:szCs w:val="15"/>
              </w:rPr>
            </w:pPr>
          </w:p>
          <w:p w14:paraId="6BC60A04" w14:textId="77777777" w:rsidR="00B30E7B" w:rsidRDefault="00B30E7B" w:rsidP="00B30E7B">
            <w:pPr>
              <w:pStyle w:val="TableParagraph"/>
            </w:pPr>
            <w:r w:rsidRPr="00B30E7B">
              <w:t>The starred (*) donations are estimations of the value of goods donated, rather than cash grants.</w:t>
            </w:r>
          </w:p>
          <w:p w14:paraId="03A34DC4" w14:textId="2E5E1E88" w:rsidR="00015F7B" w:rsidRPr="00B30E7B" w:rsidRDefault="00015F7B" w:rsidP="00B30E7B">
            <w:pPr>
              <w:pStyle w:val="TableParagraph"/>
            </w:pPr>
          </w:p>
        </w:tc>
      </w:tr>
    </w:tbl>
    <w:p w14:paraId="4BB65EC2" w14:textId="77777777" w:rsidR="00015F7B" w:rsidRDefault="00015F7B" w:rsidP="001B1DFE"/>
    <w:p w14:paraId="3FBA9CCE" w14:textId="6CC84DA3" w:rsidR="00B30E7B" w:rsidRDefault="00E17A11" w:rsidP="001B1DFE">
      <w:pPr>
        <w:pStyle w:val="ListNumber"/>
      </w:pPr>
      <w:r>
        <w:t>Net income / (expenditure) for the year</w:t>
      </w:r>
    </w:p>
    <w:p w14:paraId="5B57631E" w14:textId="323F74A9" w:rsidR="00F0402F" w:rsidRPr="00F0402F" w:rsidRDefault="00F0402F" w:rsidP="00F0402F">
      <w:pPr>
        <w:pStyle w:val="TableParagraph"/>
      </w:pPr>
      <w:r w:rsidRPr="00F0402F">
        <w:t>This is stated after charging / (crediting):</w:t>
      </w:r>
    </w:p>
    <w:tbl>
      <w:tblPr>
        <w:tblStyle w:val="PlainTable4"/>
        <w:tblW w:w="8729" w:type="dxa"/>
        <w:tblLook w:val="04A0" w:firstRow="1" w:lastRow="0" w:firstColumn="1" w:lastColumn="0" w:noHBand="0" w:noVBand="1"/>
      </w:tblPr>
      <w:tblGrid>
        <w:gridCol w:w="5537"/>
        <w:gridCol w:w="1595"/>
        <w:gridCol w:w="1597"/>
      </w:tblGrid>
      <w:tr w:rsidR="002D5C47" w14:paraId="26894EB0" w14:textId="77777777" w:rsidTr="00F0402F">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7BA0AB26" w14:textId="77777777" w:rsidR="002D5C47" w:rsidRDefault="002D5C47" w:rsidP="00F0402F">
            <w:pPr>
              <w:rPr>
                <w:sz w:val="16"/>
                <w:szCs w:val="16"/>
              </w:rPr>
            </w:pPr>
          </w:p>
          <w:p w14:paraId="5DD2C2FE" w14:textId="77777777" w:rsidR="002D5C47" w:rsidRPr="001B1DFE" w:rsidRDefault="002D5C47" w:rsidP="00F0402F">
            <w:pPr>
              <w:rPr>
                <w:b w:val="0"/>
                <w:bCs w:val="0"/>
                <w:sz w:val="16"/>
                <w:szCs w:val="16"/>
              </w:rPr>
            </w:pPr>
          </w:p>
        </w:tc>
        <w:tc>
          <w:tcPr>
            <w:tcW w:w="1595" w:type="dxa"/>
            <w:vAlign w:val="center"/>
          </w:tcPr>
          <w:p w14:paraId="798F8394" w14:textId="77777777" w:rsidR="002D5C47" w:rsidRPr="00F0402F" w:rsidRDefault="002D5C47" w:rsidP="00F0402F">
            <w:pPr>
              <w:pStyle w:val="TableParagraph"/>
              <w:jc w:val="right"/>
              <w:cnfStyle w:val="100000000000" w:firstRow="1" w:lastRow="0" w:firstColumn="0" w:lastColumn="0" w:oddVBand="0" w:evenVBand="0" w:oddHBand="0" w:evenHBand="0" w:firstRowFirstColumn="0" w:firstRowLastColumn="0" w:lastRowFirstColumn="0" w:lastRowLastColumn="0"/>
            </w:pPr>
            <w:r w:rsidRPr="00F0402F">
              <w:t>2021</w:t>
            </w:r>
          </w:p>
          <w:p w14:paraId="11B7C7E5" w14:textId="77777777" w:rsidR="002D5C47" w:rsidRPr="00F0402F" w:rsidRDefault="002D5C47" w:rsidP="00F0402F">
            <w:pPr>
              <w:pStyle w:val="TableParagraph"/>
              <w:jc w:val="right"/>
              <w:cnfStyle w:val="100000000000" w:firstRow="1" w:lastRow="0" w:firstColumn="0" w:lastColumn="0" w:oddVBand="0" w:evenVBand="0" w:oddHBand="0" w:evenHBand="0" w:firstRowFirstColumn="0" w:firstRowLastColumn="0" w:lastRowFirstColumn="0" w:lastRowLastColumn="0"/>
            </w:pPr>
            <w:r w:rsidRPr="00F0402F">
              <w:t>Total</w:t>
            </w:r>
          </w:p>
          <w:p w14:paraId="527C4ADF" w14:textId="77777777" w:rsidR="002D5C47" w:rsidRPr="00F0402F" w:rsidRDefault="002D5C47" w:rsidP="00F0402F">
            <w:pPr>
              <w:pStyle w:val="TableParagraph"/>
              <w:jc w:val="right"/>
              <w:cnfStyle w:val="100000000000" w:firstRow="1" w:lastRow="0" w:firstColumn="0" w:lastColumn="0" w:oddVBand="0" w:evenVBand="0" w:oddHBand="0" w:evenHBand="0" w:firstRowFirstColumn="0" w:firstRowLastColumn="0" w:lastRowFirstColumn="0" w:lastRowLastColumn="0"/>
            </w:pPr>
            <w:r w:rsidRPr="00F0402F">
              <w:t>£</w:t>
            </w:r>
          </w:p>
        </w:tc>
        <w:tc>
          <w:tcPr>
            <w:tcW w:w="1597" w:type="dxa"/>
            <w:vAlign w:val="center"/>
          </w:tcPr>
          <w:p w14:paraId="05512D13" w14:textId="77777777" w:rsidR="002D5C47" w:rsidRPr="00F0402F" w:rsidRDefault="002D5C47" w:rsidP="00F0402F">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F0402F">
              <w:rPr>
                <w:b w:val="0"/>
                <w:bCs w:val="0"/>
              </w:rPr>
              <w:t>2020</w:t>
            </w:r>
          </w:p>
          <w:p w14:paraId="163AE023" w14:textId="77777777" w:rsidR="002D5C47" w:rsidRPr="00F0402F" w:rsidRDefault="002D5C47" w:rsidP="00F0402F">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F0402F">
              <w:rPr>
                <w:b w:val="0"/>
                <w:bCs w:val="0"/>
              </w:rPr>
              <w:t>Total</w:t>
            </w:r>
          </w:p>
          <w:p w14:paraId="6BB554F6" w14:textId="77777777" w:rsidR="002D5C47" w:rsidRPr="00F0402F" w:rsidRDefault="002D5C47" w:rsidP="00F0402F">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F0402F">
              <w:rPr>
                <w:b w:val="0"/>
                <w:bCs w:val="0"/>
              </w:rPr>
              <w:t>£</w:t>
            </w:r>
          </w:p>
        </w:tc>
      </w:tr>
      <w:tr w:rsidR="00F0402F" w:rsidRPr="00264C3D" w14:paraId="04FCC3DB" w14:textId="77777777" w:rsidTr="00F0402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7C9C905F" w14:textId="3DA5FDED" w:rsidR="00F0402F" w:rsidRPr="00F0402F" w:rsidRDefault="00F0402F" w:rsidP="00F0402F">
            <w:pPr>
              <w:pStyle w:val="TableParagraph"/>
              <w:rPr>
                <w:b w:val="0"/>
                <w:bCs w:val="0"/>
              </w:rPr>
            </w:pPr>
            <w:r w:rsidRPr="00F0402F">
              <w:rPr>
                <w:b w:val="0"/>
                <w:bCs w:val="0"/>
              </w:rPr>
              <w:t xml:space="preserve">Depreciation </w:t>
            </w:r>
          </w:p>
        </w:tc>
        <w:tc>
          <w:tcPr>
            <w:tcW w:w="1595" w:type="dxa"/>
            <w:vAlign w:val="center"/>
          </w:tcPr>
          <w:p w14:paraId="1D5B95EF" w14:textId="0D0E481A" w:rsidR="00F0402F" w:rsidRPr="00F0402F" w:rsidRDefault="00F0402F" w:rsidP="00F0402F">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F0402F">
              <w:rPr>
                <w:b/>
                <w:bCs/>
              </w:rPr>
              <w:t xml:space="preserve">30,347 </w:t>
            </w:r>
          </w:p>
        </w:tc>
        <w:tc>
          <w:tcPr>
            <w:tcW w:w="1597" w:type="dxa"/>
            <w:vAlign w:val="center"/>
          </w:tcPr>
          <w:p w14:paraId="5D93AA65" w14:textId="04D2D759" w:rsidR="00F0402F" w:rsidRPr="00F0402F" w:rsidRDefault="00F0402F" w:rsidP="00F0402F">
            <w:pPr>
              <w:pStyle w:val="TableParagraph"/>
              <w:jc w:val="right"/>
              <w:cnfStyle w:val="000000100000" w:firstRow="0" w:lastRow="0" w:firstColumn="0" w:lastColumn="0" w:oddVBand="0" w:evenVBand="0" w:oddHBand="1" w:evenHBand="0" w:firstRowFirstColumn="0" w:firstRowLastColumn="0" w:lastRowFirstColumn="0" w:lastRowLastColumn="0"/>
            </w:pPr>
            <w:r w:rsidRPr="00F0402F">
              <w:t xml:space="preserve">42,648 </w:t>
            </w:r>
          </w:p>
        </w:tc>
      </w:tr>
      <w:tr w:rsidR="00F0402F" w:rsidRPr="00264C3D" w14:paraId="0EF04EEE" w14:textId="77777777" w:rsidTr="00F0402F">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6FF24FE5" w14:textId="240B4E22" w:rsidR="00F0402F" w:rsidRPr="00F0402F" w:rsidRDefault="00F0402F" w:rsidP="00F0402F">
            <w:pPr>
              <w:pStyle w:val="TableParagraph"/>
              <w:rPr>
                <w:b w:val="0"/>
                <w:bCs w:val="0"/>
              </w:rPr>
            </w:pPr>
            <w:r w:rsidRPr="00F0402F">
              <w:rPr>
                <w:b w:val="0"/>
                <w:bCs w:val="0"/>
              </w:rPr>
              <w:t xml:space="preserve">Loss or profit on disposal of fixed assets </w:t>
            </w:r>
          </w:p>
        </w:tc>
        <w:tc>
          <w:tcPr>
            <w:tcW w:w="1595" w:type="dxa"/>
            <w:vAlign w:val="center"/>
          </w:tcPr>
          <w:p w14:paraId="3DEFEBE5" w14:textId="77F0C989" w:rsidR="00F0402F" w:rsidRPr="00F0402F" w:rsidRDefault="00F0402F" w:rsidP="00F0402F">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F0402F">
              <w:rPr>
                <w:b/>
                <w:bCs/>
              </w:rPr>
              <w:t xml:space="preserve">1,755 </w:t>
            </w:r>
          </w:p>
        </w:tc>
        <w:tc>
          <w:tcPr>
            <w:tcW w:w="1597" w:type="dxa"/>
            <w:vAlign w:val="center"/>
          </w:tcPr>
          <w:p w14:paraId="383972A7" w14:textId="279C1F57" w:rsidR="00F0402F" w:rsidRPr="00F0402F" w:rsidRDefault="00F0402F" w:rsidP="00F0402F">
            <w:pPr>
              <w:pStyle w:val="TableParagraph"/>
              <w:jc w:val="right"/>
              <w:cnfStyle w:val="000000000000" w:firstRow="0" w:lastRow="0" w:firstColumn="0" w:lastColumn="0" w:oddVBand="0" w:evenVBand="0" w:oddHBand="0" w:evenHBand="0" w:firstRowFirstColumn="0" w:firstRowLastColumn="0" w:lastRowFirstColumn="0" w:lastRowLastColumn="0"/>
            </w:pPr>
            <w:r w:rsidRPr="00F0402F">
              <w:t xml:space="preserve">- </w:t>
            </w:r>
          </w:p>
        </w:tc>
      </w:tr>
      <w:tr w:rsidR="00F0402F" w:rsidRPr="00264C3D" w14:paraId="48CD139A" w14:textId="77777777" w:rsidTr="00F0402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3410C745" w14:textId="60C12A71" w:rsidR="00F0402F" w:rsidRPr="00F0402F" w:rsidRDefault="00F0402F" w:rsidP="00F0402F">
            <w:pPr>
              <w:pStyle w:val="TableParagraph"/>
              <w:rPr>
                <w:b w:val="0"/>
                <w:bCs w:val="0"/>
              </w:rPr>
            </w:pPr>
            <w:r w:rsidRPr="00F0402F">
              <w:rPr>
                <w:b w:val="0"/>
                <w:bCs w:val="0"/>
              </w:rPr>
              <w:t xml:space="preserve">Operating lease rentals </w:t>
            </w:r>
          </w:p>
        </w:tc>
        <w:tc>
          <w:tcPr>
            <w:tcW w:w="1595" w:type="dxa"/>
            <w:vAlign w:val="center"/>
          </w:tcPr>
          <w:p w14:paraId="02B96E7F" w14:textId="6B708088" w:rsidR="00F0402F" w:rsidRPr="00F0402F" w:rsidRDefault="00F0402F" w:rsidP="00F0402F">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F0402F">
              <w:rPr>
                <w:b/>
                <w:bCs/>
              </w:rPr>
              <w:t>199,361</w:t>
            </w:r>
          </w:p>
        </w:tc>
        <w:tc>
          <w:tcPr>
            <w:tcW w:w="1597" w:type="dxa"/>
            <w:vAlign w:val="center"/>
          </w:tcPr>
          <w:p w14:paraId="1ED0BC1B" w14:textId="2B6B1450" w:rsidR="00F0402F" w:rsidRPr="00F0402F" w:rsidRDefault="00F0402F" w:rsidP="00F0402F">
            <w:pPr>
              <w:pStyle w:val="TableParagraph"/>
              <w:jc w:val="right"/>
              <w:cnfStyle w:val="000000100000" w:firstRow="0" w:lastRow="0" w:firstColumn="0" w:lastColumn="0" w:oddVBand="0" w:evenVBand="0" w:oddHBand="1" w:evenHBand="0" w:firstRowFirstColumn="0" w:firstRowLastColumn="0" w:lastRowFirstColumn="0" w:lastRowLastColumn="0"/>
            </w:pPr>
            <w:r w:rsidRPr="00F0402F">
              <w:t xml:space="preserve">249,110 </w:t>
            </w:r>
          </w:p>
        </w:tc>
      </w:tr>
      <w:tr w:rsidR="00F0402F" w:rsidRPr="00264C3D" w14:paraId="49295460" w14:textId="77777777" w:rsidTr="00F0402F">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7E75E9D6" w14:textId="6D8624D0" w:rsidR="00F0402F" w:rsidRPr="00F0402F" w:rsidRDefault="00F0402F" w:rsidP="00F0402F">
            <w:pPr>
              <w:pStyle w:val="TableParagraph"/>
              <w:rPr>
                <w:b w:val="0"/>
                <w:bCs w:val="0"/>
              </w:rPr>
            </w:pPr>
            <w:r w:rsidRPr="00F0402F">
              <w:rPr>
                <w:b w:val="0"/>
                <w:bCs w:val="0"/>
              </w:rPr>
              <w:t xml:space="preserve">Auditor's remuneration (excluding VAT): </w:t>
            </w:r>
          </w:p>
        </w:tc>
        <w:tc>
          <w:tcPr>
            <w:tcW w:w="1595" w:type="dxa"/>
            <w:vAlign w:val="center"/>
          </w:tcPr>
          <w:p w14:paraId="0C98B05B" w14:textId="0D153E6E" w:rsidR="00F0402F" w:rsidRPr="00F0402F" w:rsidRDefault="00F0402F" w:rsidP="00F0402F">
            <w:pPr>
              <w:pStyle w:val="TableParagraph"/>
              <w:jc w:val="right"/>
              <w:cnfStyle w:val="000000000000" w:firstRow="0" w:lastRow="0" w:firstColumn="0" w:lastColumn="0" w:oddVBand="0" w:evenVBand="0" w:oddHBand="0" w:evenHBand="0" w:firstRowFirstColumn="0" w:firstRowLastColumn="0" w:lastRowFirstColumn="0" w:lastRowLastColumn="0"/>
              <w:rPr>
                <w:b/>
                <w:bCs/>
              </w:rPr>
            </w:pPr>
          </w:p>
        </w:tc>
        <w:tc>
          <w:tcPr>
            <w:tcW w:w="1597" w:type="dxa"/>
            <w:vAlign w:val="center"/>
          </w:tcPr>
          <w:p w14:paraId="58B23F0A" w14:textId="609346F0" w:rsidR="00F0402F" w:rsidRPr="00F0402F" w:rsidRDefault="00F0402F" w:rsidP="00F0402F">
            <w:pPr>
              <w:pStyle w:val="TableParagraph"/>
              <w:jc w:val="right"/>
              <w:cnfStyle w:val="000000000000" w:firstRow="0" w:lastRow="0" w:firstColumn="0" w:lastColumn="0" w:oddVBand="0" w:evenVBand="0" w:oddHBand="0" w:evenHBand="0" w:firstRowFirstColumn="0" w:firstRowLastColumn="0" w:lastRowFirstColumn="0" w:lastRowLastColumn="0"/>
            </w:pPr>
          </w:p>
        </w:tc>
      </w:tr>
      <w:tr w:rsidR="00F0402F" w:rsidRPr="00264C3D" w14:paraId="585FBB31" w14:textId="77777777" w:rsidTr="00F0402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5196B660" w14:textId="4E3F31C1" w:rsidR="00F0402F" w:rsidRPr="00F0402F" w:rsidRDefault="00F0402F" w:rsidP="00F0402F">
            <w:pPr>
              <w:pStyle w:val="TableParagraph"/>
              <w:rPr>
                <w:b w:val="0"/>
                <w:bCs w:val="0"/>
              </w:rPr>
            </w:pPr>
            <w:r w:rsidRPr="00F0402F">
              <w:rPr>
                <w:b w:val="0"/>
                <w:bCs w:val="0"/>
              </w:rPr>
              <w:t xml:space="preserve">Audit </w:t>
            </w:r>
          </w:p>
        </w:tc>
        <w:tc>
          <w:tcPr>
            <w:tcW w:w="1595" w:type="dxa"/>
            <w:vAlign w:val="center"/>
          </w:tcPr>
          <w:p w14:paraId="1DDF5000" w14:textId="77822B39" w:rsidR="00F0402F" w:rsidRPr="00F0402F" w:rsidRDefault="00F0402F" w:rsidP="00F0402F">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F0402F">
              <w:rPr>
                <w:b/>
                <w:bCs/>
              </w:rPr>
              <w:t xml:space="preserve">9,800 </w:t>
            </w:r>
          </w:p>
        </w:tc>
        <w:tc>
          <w:tcPr>
            <w:tcW w:w="1597" w:type="dxa"/>
            <w:vAlign w:val="center"/>
          </w:tcPr>
          <w:p w14:paraId="1B0CE2A6" w14:textId="20C4DDDD" w:rsidR="00F0402F" w:rsidRPr="00F0402F" w:rsidRDefault="00F0402F" w:rsidP="00F0402F">
            <w:pPr>
              <w:pStyle w:val="TableParagraph"/>
              <w:jc w:val="right"/>
              <w:cnfStyle w:val="000000100000" w:firstRow="0" w:lastRow="0" w:firstColumn="0" w:lastColumn="0" w:oddVBand="0" w:evenVBand="0" w:oddHBand="1" w:evenHBand="0" w:firstRowFirstColumn="0" w:firstRowLastColumn="0" w:lastRowFirstColumn="0" w:lastRowLastColumn="0"/>
            </w:pPr>
            <w:r w:rsidRPr="00F0402F">
              <w:t xml:space="preserve">9,000 </w:t>
            </w:r>
          </w:p>
        </w:tc>
      </w:tr>
      <w:tr w:rsidR="00F0402F" w:rsidRPr="00264C3D" w14:paraId="44D33E08" w14:textId="77777777" w:rsidTr="00F0402F">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6B9D2C2D" w14:textId="69648C0F" w:rsidR="00F0402F" w:rsidRPr="00F0402F" w:rsidRDefault="00F0402F" w:rsidP="00F0402F">
            <w:pPr>
              <w:pStyle w:val="TableParagraph"/>
              <w:rPr>
                <w:b w:val="0"/>
                <w:bCs w:val="0"/>
              </w:rPr>
            </w:pPr>
            <w:r w:rsidRPr="00F0402F">
              <w:rPr>
                <w:b w:val="0"/>
                <w:bCs w:val="0"/>
              </w:rPr>
              <w:t>Other services</w:t>
            </w:r>
          </w:p>
        </w:tc>
        <w:tc>
          <w:tcPr>
            <w:tcW w:w="1595" w:type="dxa"/>
            <w:tcBorders>
              <w:bottom w:val="double" w:sz="4" w:space="0" w:color="auto"/>
            </w:tcBorders>
            <w:vAlign w:val="center"/>
          </w:tcPr>
          <w:p w14:paraId="07B4B156" w14:textId="57C11321" w:rsidR="00F0402F" w:rsidRPr="00F0402F" w:rsidRDefault="00F0402F" w:rsidP="00F0402F">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F0402F">
              <w:rPr>
                <w:b/>
                <w:bCs/>
              </w:rPr>
              <w:t xml:space="preserve">2,100 </w:t>
            </w:r>
          </w:p>
        </w:tc>
        <w:tc>
          <w:tcPr>
            <w:tcW w:w="1597" w:type="dxa"/>
            <w:tcBorders>
              <w:bottom w:val="double" w:sz="4" w:space="0" w:color="auto"/>
            </w:tcBorders>
            <w:vAlign w:val="center"/>
          </w:tcPr>
          <w:p w14:paraId="3A03F4CD" w14:textId="3B802148" w:rsidR="00F0402F" w:rsidRPr="00F0402F" w:rsidRDefault="00F0402F" w:rsidP="00F0402F">
            <w:pPr>
              <w:pStyle w:val="TableParagraph"/>
              <w:jc w:val="right"/>
              <w:cnfStyle w:val="000000000000" w:firstRow="0" w:lastRow="0" w:firstColumn="0" w:lastColumn="0" w:oddVBand="0" w:evenVBand="0" w:oddHBand="0" w:evenHBand="0" w:firstRowFirstColumn="0" w:firstRowLastColumn="0" w:lastRowFirstColumn="0" w:lastRowLastColumn="0"/>
            </w:pPr>
            <w:r w:rsidRPr="00F0402F">
              <w:t>1,000</w:t>
            </w:r>
          </w:p>
        </w:tc>
      </w:tr>
    </w:tbl>
    <w:p w14:paraId="3AACF03C" w14:textId="77777777" w:rsidR="00015F7B" w:rsidRDefault="00015F7B" w:rsidP="001B1DFE"/>
    <w:p w14:paraId="799FE65A" w14:textId="03CA49B6" w:rsidR="002D5C47" w:rsidRDefault="002D5C47" w:rsidP="002D5C47">
      <w:pPr>
        <w:pStyle w:val="ListNumber"/>
      </w:pPr>
      <w:r>
        <w:t xml:space="preserve">Analysis of staff costs, </w:t>
      </w:r>
      <w:r w:rsidR="00D82997">
        <w:t>Trustee</w:t>
      </w:r>
      <w:r>
        <w:t xml:space="preserve"> remuneration and expenses, and the cost of key management personnel</w:t>
      </w:r>
    </w:p>
    <w:tbl>
      <w:tblPr>
        <w:tblStyle w:val="PlainTable4"/>
        <w:tblW w:w="8729" w:type="dxa"/>
        <w:tblLook w:val="04A0" w:firstRow="1" w:lastRow="0" w:firstColumn="1" w:lastColumn="0" w:noHBand="0" w:noVBand="1"/>
      </w:tblPr>
      <w:tblGrid>
        <w:gridCol w:w="5537"/>
        <w:gridCol w:w="1595"/>
        <w:gridCol w:w="1597"/>
      </w:tblGrid>
      <w:tr w:rsidR="002D5C47" w14:paraId="37DFEEC6" w14:textId="77777777" w:rsidTr="0017512E">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25036127" w14:textId="77777777" w:rsidR="002D5C47" w:rsidRDefault="002D5C47" w:rsidP="00330CA2">
            <w:pPr>
              <w:rPr>
                <w:sz w:val="16"/>
                <w:szCs w:val="16"/>
              </w:rPr>
            </w:pPr>
          </w:p>
          <w:p w14:paraId="0DB2EE09" w14:textId="77777777" w:rsidR="002D5C47" w:rsidRPr="001B1DFE" w:rsidRDefault="002D5C47" w:rsidP="00330CA2">
            <w:pPr>
              <w:rPr>
                <w:b w:val="0"/>
                <w:bCs w:val="0"/>
                <w:sz w:val="16"/>
                <w:szCs w:val="16"/>
              </w:rPr>
            </w:pPr>
          </w:p>
        </w:tc>
        <w:tc>
          <w:tcPr>
            <w:tcW w:w="1595" w:type="dxa"/>
            <w:vAlign w:val="center"/>
          </w:tcPr>
          <w:p w14:paraId="24629315" w14:textId="77777777" w:rsidR="002D5C47" w:rsidRPr="00D82997" w:rsidRDefault="002D5C47" w:rsidP="0017512E">
            <w:pPr>
              <w:pStyle w:val="TableParagraph"/>
              <w:jc w:val="right"/>
              <w:cnfStyle w:val="100000000000" w:firstRow="1" w:lastRow="0" w:firstColumn="0" w:lastColumn="0" w:oddVBand="0" w:evenVBand="0" w:oddHBand="0" w:evenHBand="0" w:firstRowFirstColumn="0" w:firstRowLastColumn="0" w:lastRowFirstColumn="0" w:lastRowLastColumn="0"/>
            </w:pPr>
            <w:r w:rsidRPr="00D82997">
              <w:t>2021</w:t>
            </w:r>
          </w:p>
          <w:p w14:paraId="74B14EDD" w14:textId="77777777" w:rsidR="002D5C47" w:rsidRPr="00D82997" w:rsidRDefault="002D5C47" w:rsidP="0017512E">
            <w:pPr>
              <w:pStyle w:val="TableParagraph"/>
              <w:jc w:val="right"/>
              <w:cnfStyle w:val="100000000000" w:firstRow="1" w:lastRow="0" w:firstColumn="0" w:lastColumn="0" w:oddVBand="0" w:evenVBand="0" w:oddHBand="0" w:evenHBand="0" w:firstRowFirstColumn="0" w:firstRowLastColumn="0" w:lastRowFirstColumn="0" w:lastRowLastColumn="0"/>
            </w:pPr>
            <w:r w:rsidRPr="00D82997">
              <w:t>Total</w:t>
            </w:r>
          </w:p>
          <w:p w14:paraId="512B6401" w14:textId="77777777" w:rsidR="002D5C47" w:rsidRPr="00D82997" w:rsidRDefault="002D5C47" w:rsidP="0017512E">
            <w:pPr>
              <w:pStyle w:val="TableParagraph"/>
              <w:jc w:val="right"/>
              <w:cnfStyle w:val="100000000000" w:firstRow="1" w:lastRow="0" w:firstColumn="0" w:lastColumn="0" w:oddVBand="0" w:evenVBand="0" w:oddHBand="0" w:evenHBand="0" w:firstRowFirstColumn="0" w:firstRowLastColumn="0" w:lastRowFirstColumn="0" w:lastRowLastColumn="0"/>
            </w:pPr>
            <w:r w:rsidRPr="00D82997">
              <w:t>£</w:t>
            </w:r>
          </w:p>
        </w:tc>
        <w:tc>
          <w:tcPr>
            <w:tcW w:w="1597" w:type="dxa"/>
            <w:vAlign w:val="center"/>
          </w:tcPr>
          <w:p w14:paraId="08A84D9D" w14:textId="77777777" w:rsidR="002D5C47" w:rsidRPr="0017512E" w:rsidRDefault="002D5C47" w:rsidP="0017512E">
            <w:pPr>
              <w:pStyle w:val="TableParagraph"/>
              <w:jc w:val="right"/>
              <w:cnfStyle w:val="100000000000" w:firstRow="1" w:lastRow="0" w:firstColumn="0" w:lastColumn="0" w:oddVBand="0" w:evenVBand="0" w:oddHBand="0" w:evenHBand="0" w:firstRowFirstColumn="0" w:firstRowLastColumn="0" w:lastRowFirstColumn="0" w:lastRowLastColumn="0"/>
            </w:pPr>
            <w:r w:rsidRPr="0017512E">
              <w:t>2020</w:t>
            </w:r>
          </w:p>
          <w:p w14:paraId="3BB62BF2" w14:textId="77777777" w:rsidR="002D5C47" w:rsidRPr="0017512E" w:rsidRDefault="002D5C47" w:rsidP="0017512E">
            <w:pPr>
              <w:pStyle w:val="TableParagraph"/>
              <w:jc w:val="right"/>
              <w:cnfStyle w:val="100000000000" w:firstRow="1" w:lastRow="0" w:firstColumn="0" w:lastColumn="0" w:oddVBand="0" w:evenVBand="0" w:oddHBand="0" w:evenHBand="0" w:firstRowFirstColumn="0" w:firstRowLastColumn="0" w:lastRowFirstColumn="0" w:lastRowLastColumn="0"/>
            </w:pPr>
            <w:r w:rsidRPr="0017512E">
              <w:t>Total</w:t>
            </w:r>
          </w:p>
          <w:p w14:paraId="56C0A753" w14:textId="77777777" w:rsidR="002D5C47" w:rsidRPr="0017512E" w:rsidRDefault="002D5C47" w:rsidP="0017512E">
            <w:pPr>
              <w:pStyle w:val="TableParagraph"/>
              <w:jc w:val="right"/>
              <w:cnfStyle w:val="100000000000" w:firstRow="1" w:lastRow="0" w:firstColumn="0" w:lastColumn="0" w:oddVBand="0" w:evenVBand="0" w:oddHBand="0" w:evenHBand="0" w:firstRowFirstColumn="0" w:firstRowLastColumn="0" w:lastRowFirstColumn="0" w:lastRowLastColumn="0"/>
            </w:pPr>
            <w:r w:rsidRPr="0017512E">
              <w:t>£</w:t>
            </w:r>
          </w:p>
        </w:tc>
      </w:tr>
      <w:tr w:rsidR="00F0402F" w:rsidRPr="00264C3D" w14:paraId="2257B071" w14:textId="77777777" w:rsidTr="0017512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tcPr>
          <w:p w14:paraId="24D7F0AE" w14:textId="006945CF" w:rsidR="00F0402F" w:rsidRPr="00D82997" w:rsidRDefault="00F0402F" w:rsidP="00F0402F">
            <w:pPr>
              <w:pStyle w:val="TableParagraph"/>
              <w:rPr>
                <w:b w:val="0"/>
                <w:bCs w:val="0"/>
              </w:rPr>
            </w:pPr>
            <w:r w:rsidRPr="00D82997">
              <w:rPr>
                <w:b w:val="0"/>
                <w:bCs w:val="0"/>
              </w:rPr>
              <w:t xml:space="preserve">Salaries and wages </w:t>
            </w:r>
          </w:p>
        </w:tc>
        <w:tc>
          <w:tcPr>
            <w:tcW w:w="1595" w:type="dxa"/>
            <w:vAlign w:val="center"/>
          </w:tcPr>
          <w:p w14:paraId="0B391962" w14:textId="6381BC8E" w:rsidR="00F0402F" w:rsidRPr="00D82997" w:rsidRDefault="00F0402F" w:rsidP="0017512E">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 xml:space="preserve">1,114,689 </w:t>
            </w:r>
          </w:p>
        </w:tc>
        <w:tc>
          <w:tcPr>
            <w:tcW w:w="1597" w:type="dxa"/>
            <w:vAlign w:val="center"/>
          </w:tcPr>
          <w:p w14:paraId="288F73BC" w14:textId="7B410D5F" w:rsidR="00F0402F" w:rsidRPr="0017512E" w:rsidRDefault="00F0402F" w:rsidP="0017512E">
            <w:pPr>
              <w:pStyle w:val="TableParagraph"/>
              <w:jc w:val="right"/>
              <w:cnfStyle w:val="000000100000" w:firstRow="0" w:lastRow="0" w:firstColumn="0" w:lastColumn="0" w:oddVBand="0" w:evenVBand="0" w:oddHBand="1" w:evenHBand="0" w:firstRowFirstColumn="0" w:firstRowLastColumn="0" w:lastRowFirstColumn="0" w:lastRowLastColumn="0"/>
            </w:pPr>
            <w:r w:rsidRPr="0017512E">
              <w:t xml:space="preserve">953,601 </w:t>
            </w:r>
          </w:p>
        </w:tc>
      </w:tr>
      <w:tr w:rsidR="00F0402F" w:rsidRPr="00264C3D" w14:paraId="10C9A6F3" w14:textId="77777777" w:rsidTr="0017512E">
        <w:trPr>
          <w:trHeight w:val="277"/>
        </w:trPr>
        <w:tc>
          <w:tcPr>
            <w:cnfStyle w:val="001000000000" w:firstRow="0" w:lastRow="0" w:firstColumn="1" w:lastColumn="0" w:oddVBand="0" w:evenVBand="0" w:oddHBand="0" w:evenHBand="0" w:firstRowFirstColumn="0" w:firstRowLastColumn="0" w:lastRowFirstColumn="0" w:lastRowLastColumn="0"/>
            <w:tcW w:w="5537" w:type="dxa"/>
          </w:tcPr>
          <w:p w14:paraId="19189AEC" w14:textId="61A7CB52" w:rsidR="00F0402F" w:rsidRPr="00D82997" w:rsidRDefault="00F0402F" w:rsidP="00F0402F">
            <w:pPr>
              <w:pStyle w:val="TableParagraph"/>
              <w:rPr>
                <w:b w:val="0"/>
                <w:bCs w:val="0"/>
              </w:rPr>
            </w:pPr>
            <w:r w:rsidRPr="00D82997">
              <w:rPr>
                <w:b w:val="0"/>
                <w:bCs w:val="0"/>
              </w:rPr>
              <w:t xml:space="preserve">Redundancy and termination costs </w:t>
            </w:r>
          </w:p>
        </w:tc>
        <w:tc>
          <w:tcPr>
            <w:tcW w:w="1595" w:type="dxa"/>
            <w:vAlign w:val="center"/>
          </w:tcPr>
          <w:p w14:paraId="5FFC083B" w14:textId="032B7C44" w:rsidR="00F0402F" w:rsidRPr="00D82997" w:rsidRDefault="00F0402F" w:rsidP="0017512E">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 xml:space="preserve">1,356 </w:t>
            </w:r>
          </w:p>
        </w:tc>
        <w:tc>
          <w:tcPr>
            <w:tcW w:w="1597" w:type="dxa"/>
            <w:vAlign w:val="center"/>
          </w:tcPr>
          <w:p w14:paraId="62D4979F" w14:textId="09AAFA83" w:rsidR="00F0402F" w:rsidRPr="0017512E" w:rsidRDefault="00F0402F" w:rsidP="0017512E">
            <w:pPr>
              <w:pStyle w:val="TableParagraph"/>
              <w:jc w:val="right"/>
              <w:cnfStyle w:val="000000000000" w:firstRow="0" w:lastRow="0" w:firstColumn="0" w:lastColumn="0" w:oddVBand="0" w:evenVBand="0" w:oddHBand="0" w:evenHBand="0" w:firstRowFirstColumn="0" w:firstRowLastColumn="0" w:lastRowFirstColumn="0" w:lastRowLastColumn="0"/>
            </w:pPr>
            <w:r w:rsidRPr="0017512E">
              <w:t xml:space="preserve">20,271 </w:t>
            </w:r>
          </w:p>
        </w:tc>
      </w:tr>
      <w:tr w:rsidR="00F0402F" w:rsidRPr="00264C3D" w14:paraId="378782DE" w14:textId="77777777" w:rsidTr="0017512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tcPr>
          <w:p w14:paraId="2316793E" w14:textId="7D3000AC" w:rsidR="00F0402F" w:rsidRPr="00D82997" w:rsidRDefault="00F0402F" w:rsidP="00F0402F">
            <w:pPr>
              <w:pStyle w:val="TableParagraph"/>
              <w:rPr>
                <w:b w:val="0"/>
                <w:bCs w:val="0"/>
              </w:rPr>
            </w:pPr>
            <w:r w:rsidRPr="00D82997">
              <w:rPr>
                <w:b w:val="0"/>
                <w:bCs w:val="0"/>
              </w:rPr>
              <w:t xml:space="preserve">Social security costs </w:t>
            </w:r>
          </w:p>
        </w:tc>
        <w:tc>
          <w:tcPr>
            <w:tcW w:w="1595" w:type="dxa"/>
            <w:vAlign w:val="center"/>
          </w:tcPr>
          <w:p w14:paraId="30360582" w14:textId="364AFDAB" w:rsidR="00F0402F" w:rsidRPr="00D82997" w:rsidRDefault="00F0402F" w:rsidP="0017512E">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 xml:space="preserve">84,903 </w:t>
            </w:r>
          </w:p>
        </w:tc>
        <w:tc>
          <w:tcPr>
            <w:tcW w:w="1597" w:type="dxa"/>
            <w:vAlign w:val="center"/>
          </w:tcPr>
          <w:p w14:paraId="237E18BB" w14:textId="7F5936F2" w:rsidR="00F0402F" w:rsidRPr="0017512E" w:rsidRDefault="00F0402F" w:rsidP="0017512E">
            <w:pPr>
              <w:pStyle w:val="TableParagraph"/>
              <w:jc w:val="right"/>
              <w:cnfStyle w:val="000000100000" w:firstRow="0" w:lastRow="0" w:firstColumn="0" w:lastColumn="0" w:oddVBand="0" w:evenVBand="0" w:oddHBand="1" w:evenHBand="0" w:firstRowFirstColumn="0" w:firstRowLastColumn="0" w:lastRowFirstColumn="0" w:lastRowLastColumn="0"/>
            </w:pPr>
            <w:r w:rsidRPr="0017512E">
              <w:t xml:space="preserve">76,545 </w:t>
            </w:r>
          </w:p>
        </w:tc>
      </w:tr>
      <w:tr w:rsidR="00F0402F" w:rsidRPr="00264C3D" w14:paraId="368D2979" w14:textId="77777777" w:rsidTr="0017512E">
        <w:trPr>
          <w:trHeight w:val="277"/>
        </w:trPr>
        <w:tc>
          <w:tcPr>
            <w:cnfStyle w:val="001000000000" w:firstRow="0" w:lastRow="0" w:firstColumn="1" w:lastColumn="0" w:oddVBand="0" w:evenVBand="0" w:oddHBand="0" w:evenHBand="0" w:firstRowFirstColumn="0" w:firstRowLastColumn="0" w:lastRowFirstColumn="0" w:lastRowLastColumn="0"/>
            <w:tcW w:w="5537" w:type="dxa"/>
          </w:tcPr>
          <w:p w14:paraId="64B45CAE" w14:textId="3596C6B0" w:rsidR="00F0402F" w:rsidRPr="00D82997" w:rsidRDefault="00F0402F" w:rsidP="00F0402F">
            <w:pPr>
              <w:pStyle w:val="TableParagraph"/>
              <w:rPr>
                <w:b w:val="0"/>
                <w:bCs w:val="0"/>
              </w:rPr>
            </w:pPr>
            <w:r w:rsidRPr="00D82997">
              <w:rPr>
                <w:b w:val="0"/>
                <w:bCs w:val="0"/>
              </w:rPr>
              <w:t xml:space="preserve">Employer’s contribution to defined contribution pension schemes </w:t>
            </w:r>
          </w:p>
        </w:tc>
        <w:tc>
          <w:tcPr>
            <w:tcW w:w="1595" w:type="dxa"/>
            <w:vAlign w:val="center"/>
          </w:tcPr>
          <w:p w14:paraId="76547DD6" w14:textId="75F24F1A" w:rsidR="00F0402F" w:rsidRPr="00D82997" w:rsidRDefault="00F0402F" w:rsidP="0017512E">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 xml:space="preserve">54,450 </w:t>
            </w:r>
          </w:p>
        </w:tc>
        <w:tc>
          <w:tcPr>
            <w:tcW w:w="1597" w:type="dxa"/>
            <w:vAlign w:val="center"/>
          </w:tcPr>
          <w:p w14:paraId="226C79E6" w14:textId="1C9DED6F" w:rsidR="00F0402F" w:rsidRPr="0017512E" w:rsidRDefault="00F0402F" w:rsidP="0017512E">
            <w:pPr>
              <w:pStyle w:val="TableParagraph"/>
              <w:jc w:val="right"/>
              <w:cnfStyle w:val="000000000000" w:firstRow="0" w:lastRow="0" w:firstColumn="0" w:lastColumn="0" w:oddVBand="0" w:evenVBand="0" w:oddHBand="0" w:evenHBand="0" w:firstRowFirstColumn="0" w:firstRowLastColumn="0" w:lastRowFirstColumn="0" w:lastRowLastColumn="0"/>
            </w:pPr>
            <w:r w:rsidRPr="0017512E">
              <w:t>39,548</w:t>
            </w:r>
          </w:p>
        </w:tc>
      </w:tr>
      <w:tr w:rsidR="00F0402F" w:rsidRPr="00264C3D" w14:paraId="7998ADB8" w14:textId="77777777" w:rsidTr="0017512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tcPr>
          <w:p w14:paraId="607CD448" w14:textId="67395CEE" w:rsidR="00F0402F" w:rsidRPr="00E17A11" w:rsidRDefault="00F0402F" w:rsidP="00F0402F">
            <w:pPr>
              <w:pStyle w:val="TableParagraph"/>
              <w:rPr>
                <w:b w:val="0"/>
                <w:bCs w:val="0"/>
              </w:rPr>
            </w:pPr>
          </w:p>
        </w:tc>
        <w:tc>
          <w:tcPr>
            <w:tcW w:w="1595" w:type="dxa"/>
            <w:tcBorders>
              <w:bottom w:val="single" w:sz="4" w:space="0" w:color="auto"/>
            </w:tcBorders>
            <w:vAlign w:val="center"/>
          </w:tcPr>
          <w:p w14:paraId="2FE8B961" w14:textId="77777777" w:rsidR="00F0402F" w:rsidRPr="00D82997" w:rsidRDefault="00F0402F" w:rsidP="0017512E">
            <w:pPr>
              <w:pStyle w:val="TableParagraph"/>
              <w:jc w:val="right"/>
              <w:cnfStyle w:val="000000100000" w:firstRow="0" w:lastRow="0" w:firstColumn="0" w:lastColumn="0" w:oddVBand="0" w:evenVBand="0" w:oddHBand="1" w:evenHBand="0" w:firstRowFirstColumn="0" w:firstRowLastColumn="0" w:lastRowFirstColumn="0" w:lastRowLastColumn="0"/>
              <w:rPr>
                <w:b/>
                <w:bCs/>
              </w:rPr>
            </w:pPr>
          </w:p>
        </w:tc>
        <w:tc>
          <w:tcPr>
            <w:tcW w:w="1597" w:type="dxa"/>
            <w:tcBorders>
              <w:bottom w:val="single" w:sz="4" w:space="0" w:color="auto"/>
            </w:tcBorders>
            <w:vAlign w:val="center"/>
          </w:tcPr>
          <w:p w14:paraId="0E1C954F" w14:textId="77777777" w:rsidR="00F0402F" w:rsidRPr="0017512E" w:rsidRDefault="00F0402F" w:rsidP="0017512E">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2D5C47" w:rsidRPr="00264C3D" w14:paraId="6856A3DA" w14:textId="77777777" w:rsidTr="0017512E">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714D6A9F" w14:textId="77777777" w:rsidR="002D5C47" w:rsidRPr="00E17A11" w:rsidRDefault="002D5C47" w:rsidP="00330CA2">
            <w:pPr>
              <w:pStyle w:val="TableParagraph"/>
              <w:rPr>
                <w:b w:val="0"/>
                <w:bCs w:val="0"/>
              </w:rPr>
            </w:pPr>
          </w:p>
        </w:tc>
        <w:tc>
          <w:tcPr>
            <w:tcW w:w="1595" w:type="dxa"/>
            <w:tcBorders>
              <w:top w:val="single" w:sz="4" w:space="0" w:color="auto"/>
              <w:bottom w:val="double" w:sz="4" w:space="0" w:color="auto"/>
            </w:tcBorders>
            <w:vAlign w:val="center"/>
          </w:tcPr>
          <w:p w14:paraId="42003C7D" w14:textId="7345E8D2" w:rsidR="002D5C47" w:rsidRPr="00D82997" w:rsidRDefault="0017512E" w:rsidP="0017512E">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1,255,398</w:t>
            </w:r>
          </w:p>
        </w:tc>
        <w:tc>
          <w:tcPr>
            <w:tcW w:w="1597" w:type="dxa"/>
            <w:tcBorders>
              <w:top w:val="single" w:sz="4" w:space="0" w:color="auto"/>
              <w:bottom w:val="double" w:sz="4" w:space="0" w:color="auto"/>
            </w:tcBorders>
            <w:vAlign w:val="center"/>
          </w:tcPr>
          <w:p w14:paraId="1E1D6273" w14:textId="4796524D" w:rsidR="002D5C47" w:rsidRPr="0017512E" w:rsidRDefault="0017512E" w:rsidP="0017512E">
            <w:pPr>
              <w:pStyle w:val="TableParagraph"/>
              <w:jc w:val="right"/>
              <w:cnfStyle w:val="000000000000" w:firstRow="0" w:lastRow="0" w:firstColumn="0" w:lastColumn="0" w:oddVBand="0" w:evenVBand="0" w:oddHBand="0" w:evenHBand="0" w:firstRowFirstColumn="0" w:firstRowLastColumn="0" w:lastRowFirstColumn="0" w:lastRowLastColumn="0"/>
            </w:pPr>
            <w:r w:rsidRPr="0017512E">
              <w:t>1,089,966</w:t>
            </w:r>
          </w:p>
        </w:tc>
      </w:tr>
      <w:tr w:rsidR="002D5C47" w:rsidRPr="00264C3D" w14:paraId="31DE2BC2" w14:textId="77777777" w:rsidTr="0017512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shd w:val="clear" w:color="auto" w:fill="auto"/>
            <w:vAlign w:val="center"/>
          </w:tcPr>
          <w:p w14:paraId="5ED8C65F" w14:textId="77777777" w:rsidR="002D5C47" w:rsidRPr="00E17A11" w:rsidRDefault="002D5C47" w:rsidP="00330CA2">
            <w:pPr>
              <w:pStyle w:val="TableParagraph"/>
              <w:rPr>
                <w:b w:val="0"/>
                <w:bCs w:val="0"/>
              </w:rPr>
            </w:pPr>
          </w:p>
        </w:tc>
        <w:tc>
          <w:tcPr>
            <w:tcW w:w="1595" w:type="dxa"/>
            <w:tcBorders>
              <w:top w:val="double" w:sz="4" w:space="0" w:color="auto"/>
            </w:tcBorders>
            <w:shd w:val="clear" w:color="auto" w:fill="auto"/>
            <w:vAlign w:val="center"/>
          </w:tcPr>
          <w:p w14:paraId="3D3F2518" w14:textId="77777777" w:rsidR="002D5C47" w:rsidRPr="0017512E" w:rsidRDefault="002D5C47" w:rsidP="0017512E">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1597" w:type="dxa"/>
            <w:tcBorders>
              <w:top w:val="double" w:sz="4" w:space="0" w:color="auto"/>
            </w:tcBorders>
            <w:shd w:val="clear" w:color="auto" w:fill="auto"/>
            <w:vAlign w:val="center"/>
          </w:tcPr>
          <w:p w14:paraId="3A7EE9DA" w14:textId="77777777" w:rsidR="002D5C47" w:rsidRPr="0017512E" w:rsidRDefault="002D5C47" w:rsidP="0017512E">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2D5C47" w:rsidRPr="00264C3D" w14:paraId="6FB1989B" w14:textId="77777777" w:rsidTr="0017512E">
        <w:trPr>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334189F8" w14:textId="6AB93E05" w:rsidR="002D5C47" w:rsidRPr="00E17A11" w:rsidRDefault="0017512E" w:rsidP="00330CA2">
            <w:pPr>
              <w:pStyle w:val="TableParagraph"/>
              <w:rPr>
                <w:b w:val="0"/>
                <w:bCs w:val="0"/>
              </w:rPr>
            </w:pPr>
            <w:r w:rsidRPr="0017512E">
              <w:rPr>
                <w:b w:val="0"/>
                <w:bCs w:val="0"/>
              </w:rPr>
              <w:t>The following numbers of staff have emoluments above £60,000:</w:t>
            </w:r>
          </w:p>
        </w:tc>
        <w:tc>
          <w:tcPr>
            <w:tcW w:w="1595" w:type="dxa"/>
            <w:vAlign w:val="center"/>
          </w:tcPr>
          <w:p w14:paraId="7456B66C" w14:textId="3A88491E" w:rsidR="002D5C47" w:rsidRPr="0017512E" w:rsidRDefault="0017512E" w:rsidP="0017512E">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17512E">
              <w:rPr>
                <w:b/>
                <w:bCs/>
              </w:rPr>
              <w:t>2021</w:t>
            </w:r>
          </w:p>
        </w:tc>
        <w:tc>
          <w:tcPr>
            <w:tcW w:w="1597" w:type="dxa"/>
            <w:vAlign w:val="center"/>
          </w:tcPr>
          <w:p w14:paraId="3DA14A71" w14:textId="257FE8D9" w:rsidR="002D5C47" w:rsidRPr="0017512E" w:rsidRDefault="0017512E" w:rsidP="0017512E">
            <w:pPr>
              <w:pStyle w:val="TableParagraph"/>
              <w:jc w:val="right"/>
              <w:cnfStyle w:val="000000000000" w:firstRow="0" w:lastRow="0" w:firstColumn="0" w:lastColumn="0" w:oddVBand="0" w:evenVBand="0" w:oddHBand="0" w:evenHBand="0" w:firstRowFirstColumn="0" w:firstRowLastColumn="0" w:lastRowFirstColumn="0" w:lastRowLastColumn="0"/>
            </w:pPr>
            <w:r>
              <w:t>2020</w:t>
            </w:r>
          </w:p>
        </w:tc>
      </w:tr>
      <w:tr w:rsidR="0017512E" w:rsidRPr="00264C3D" w14:paraId="05E21C97" w14:textId="77777777" w:rsidTr="0017512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shd w:val="clear" w:color="auto" w:fill="auto"/>
            <w:vAlign w:val="center"/>
          </w:tcPr>
          <w:p w14:paraId="0B385E0F" w14:textId="6CB59894" w:rsidR="0017512E" w:rsidRPr="0017512E" w:rsidRDefault="0017512E" w:rsidP="0017512E">
            <w:pPr>
              <w:pStyle w:val="TableParagraph"/>
              <w:rPr>
                <w:b w:val="0"/>
                <w:bCs w:val="0"/>
              </w:rPr>
            </w:pPr>
            <w:r w:rsidRPr="0017512E">
              <w:rPr>
                <w:b w:val="0"/>
                <w:bCs w:val="0"/>
              </w:rPr>
              <w:t xml:space="preserve"> </w:t>
            </w:r>
          </w:p>
        </w:tc>
        <w:tc>
          <w:tcPr>
            <w:tcW w:w="1595" w:type="dxa"/>
            <w:shd w:val="clear" w:color="auto" w:fill="auto"/>
            <w:vAlign w:val="center"/>
          </w:tcPr>
          <w:p w14:paraId="0C7D20B9" w14:textId="798C9B8E" w:rsidR="0017512E" w:rsidRPr="0017512E" w:rsidRDefault="0017512E" w:rsidP="0017512E">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17512E">
              <w:rPr>
                <w:b/>
                <w:bCs/>
              </w:rPr>
              <w:t>No.</w:t>
            </w:r>
          </w:p>
        </w:tc>
        <w:tc>
          <w:tcPr>
            <w:tcW w:w="1597" w:type="dxa"/>
            <w:shd w:val="clear" w:color="auto" w:fill="auto"/>
            <w:vAlign w:val="center"/>
          </w:tcPr>
          <w:p w14:paraId="375D0052" w14:textId="1573AA76" w:rsidR="0017512E" w:rsidRPr="0017512E" w:rsidRDefault="0017512E" w:rsidP="0017512E">
            <w:pPr>
              <w:pStyle w:val="TableParagraph"/>
              <w:jc w:val="right"/>
              <w:cnfStyle w:val="000000100000" w:firstRow="0" w:lastRow="0" w:firstColumn="0" w:lastColumn="0" w:oddVBand="0" w:evenVBand="0" w:oddHBand="1" w:evenHBand="0" w:firstRowFirstColumn="0" w:firstRowLastColumn="0" w:lastRowFirstColumn="0" w:lastRowLastColumn="0"/>
            </w:pPr>
            <w:r>
              <w:t>No.</w:t>
            </w:r>
          </w:p>
        </w:tc>
      </w:tr>
      <w:tr w:rsidR="0017512E" w:rsidRPr="00264C3D" w14:paraId="57DA1774" w14:textId="77777777" w:rsidTr="0017512E">
        <w:trPr>
          <w:trHeight w:val="277"/>
        </w:trPr>
        <w:tc>
          <w:tcPr>
            <w:cnfStyle w:val="001000000000" w:firstRow="0" w:lastRow="0" w:firstColumn="1" w:lastColumn="0" w:oddVBand="0" w:evenVBand="0" w:oddHBand="0" w:evenHBand="0" w:firstRowFirstColumn="0" w:firstRowLastColumn="0" w:lastRowFirstColumn="0" w:lastRowLastColumn="0"/>
            <w:tcW w:w="5537" w:type="dxa"/>
            <w:shd w:val="clear" w:color="auto" w:fill="F2F2F2" w:themeFill="background1" w:themeFillShade="F2"/>
            <w:vAlign w:val="center"/>
          </w:tcPr>
          <w:p w14:paraId="4E6F7551" w14:textId="50EEC3F9" w:rsidR="0017512E" w:rsidRPr="0017512E" w:rsidRDefault="0017512E" w:rsidP="0017512E">
            <w:pPr>
              <w:pStyle w:val="TableParagraph"/>
              <w:rPr>
                <w:b w:val="0"/>
                <w:bCs w:val="0"/>
              </w:rPr>
            </w:pPr>
            <w:r w:rsidRPr="0017512E">
              <w:rPr>
                <w:b w:val="0"/>
                <w:bCs w:val="0"/>
              </w:rPr>
              <w:t xml:space="preserve">£60,000 - £69,999 </w:t>
            </w:r>
          </w:p>
        </w:tc>
        <w:tc>
          <w:tcPr>
            <w:tcW w:w="1595" w:type="dxa"/>
            <w:shd w:val="clear" w:color="auto" w:fill="F2F2F2" w:themeFill="background1" w:themeFillShade="F2"/>
            <w:vAlign w:val="center"/>
          </w:tcPr>
          <w:p w14:paraId="24F48190" w14:textId="115F1CDA" w:rsidR="0017512E" w:rsidRPr="0017512E" w:rsidRDefault="0017512E" w:rsidP="0017512E">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17512E">
              <w:rPr>
                <w:b/>
                <w:bCs/>
              </w:rPr>
              <w:t>2</w:t>
            </w:r>
          </w:p>
        </w:tc>
        <w:tc>
          <w:tcPr>
            <w:tcW w:w="1597" w:type="dxa"/>
            <w:shd w:val="clear" w:color="auto" w:fill="F2F2F2" w:themeFill="background1" w:themeFillShade="F2"/>
            <w:vAlign w:val="center"/>
          </w:tcPr>
          <w:p w14:paraId="531B42AF" w14:textId="14FF17D5" w:rsidR="0017512E" w:rsidRPr="0017512E" w:rsidRDefault="0017512E" w:rsidP="0017512E">
            <w:pPr>
              <w:pStyle w:val="TableParagraph"/>
              <w:jc w:val="right"/>
              <w:cnfStyle w:val="000000000000" w:firstRow="0" w:lastRow="0" w:firstColumn="0" w:lastColumn="0" w:oddVBand="0" w:evenVBand="0" w:oddHBand="0" w:evenHBand="0" w:firstRowFirstColumn="0" w:firstRowLastColumn="0" w:lastRowFirstColumn="0" w:lastRowLastColumn="0"/>
            </w:pPr>
            <w:r>
              <w:t>-</w:t>
            </w:r>
          </w:p>
        </w:tc>
      </w:tr>
      <w:tr w:rsidR="0017512E" w:rsidRPr="00264C3D" w14:paraId="5F2FA3AE" w14:textId="77777777" w:rsidTr="0017512E">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5537" w:type="dxa"/>
            <w:shd w:val="clear" w:color="auto" w:fill="auto"/>
            <w:vAlign w:val="center"/>
          </w:tcPr>
          <w:p w14:paraId="64C29BD9" w14:textId="72E10770" w:rsidR="0017512E" w:rsidRPr="00264C3D" w:rsidRDefault="0017512E" w:rsidP="0017512E">
            <w:pPr>
              <w:pStyle w:val="TableParagraph"/>
            </w:pPr>
            <w:r w:rsidRPr="0017512E">
              <w:rPr>
                <w:b w:val="0"/>
                <w:bCs w:val="0"/>
              </w:rPr>
              <w:lastRenderedPageBreak/>
              <w:t xml:space="preserve">£70,000 - £79,999 </w:t>
            </w:r>
          </w:p>
        </w:tc>
        <w:tc>
          <w:tcPr>
            <w:tcW w:w="1595" w:type="dxa"/>
            <w:tcBorders>
              <w:bottom w:val="double" w:sz="4" w:space="0" w:color="auto"/>
            </w:tcBorders>
            <w:shd w:val="clear" w:color="auto" w:fill="auto"/>
            <w:vAlign w:val="center"/>
          </w:tcPr>
          <w:p w14:paraId="18E1C474" w14:textId="4C265D0B" w:rsidR="0017512E" w:rsidRPr="0017512E" w:rsidRDefault="0017512E" w:rsidP="0017512E">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17512E">
              <w:rPr>
                <w:b/>
                <w:bCs/>
              </w:rPr>
              <w:t>1</w:t>
            </w:r>
          </w:p>
        </w:tc>
        <w:tc>
          <w:tcPr>
            <w:tcW w:w="1597" w:type="dxa"/>
            <w:tcBorders>
              <w:bottom w:val="double" w:sz="4" w:space="0" w:color="auto"/>
            </w:tcBorders>
            <w:shd w:val="clear" w:color="auto" w:fill="auto"/>
            <w:vAlign w:val="center"/>
          </w:tcPr>
          <w:p w14:paraId="283A49D8" w14:textId="76CC41A4" w:rsidR="0017512E" w:rsidRPr="0017512E" w:rsidRDefault="0017512E" w:rsidP="0017512E">
            <w:pPr>
              <w:pStyle w:val="TableParagraph"/>
              <w:jc w:val="right"/>
              <w:cnfStyle w:val="000000100000" w:firstRow="0" w:lastRow="0" w:firstColumn="0" w:lastColumn="0" w:oddVBand="0" w:evenVBand="0" w:oddHBand="1" w:evenHBand="0" w:firstRowFirstColumn="0" w:firstRowLastColumn="0" w:lastRowFirstColumn="0" w:lastRowLastColumn="0"/>
            </w:pPr>
            <w:r>
              <w:t>1</w:t>
            </w:r>
          </w:p>
        </w:tc>
      </w:tr>
    </w:tbl>
    <w:p w14:paraId="05AA382A" w14:textId="6E395A1A" w:rsidR="002D5C47" w:rsidRDefault="002D5C47" w:rsidP="002D5C47">
      <w:pPr>
        <w:pStyle w:val="ListNumber"/>
        <w:numPr>
          <w:ilvl w:val="0"/>
          <w:numId w:val="0"/>
        </w:numPr>
        <w:ind w:left="360" w:hanging="360"/>
      </w:pPr>
    </w:p>
    <w:p w14:paraId="505BB218" w14:textId="04960B03" w:rsidR="00F0402F" w:rsidRDefault="00F0402F" w:rsidP="00F0402F">
      <w:pPr>
        <w:pStyle w:val="TableParagraph"/>
      </w:pPr>
      <w:r w:rsidRPr="00F0402F">
        <w:t>The key management personnel are the members of the Executive Leadership Team. The total employee benefits (including employer's pension contributions and employer's national insurance contributions) of the key management personnel were £473k (2020: £208k).</w:t>
      </w:r>
    </w:p>
    <w:p w14:paraId="0B3121F9" w14:textId="77777777" w:rsidR="00F0402F" w:rsidRPr="00F0402F" w:rsidRDefault="00F0402F" w:rsidP="00F0402F">
      <w:pPr>
        <w:pStyle w:val="TableParagraph"/>
      </w:pPr>
    </w:p>
    <w:p w14:paraId="68CC167D" w14:textId="2E7D143B" w:rsidR="00F0402F" w:rsidRDefault="00F0402F" w:rsidP="00F0402F">
      <w:pPr>
        <w:pStyle w:val="TableParagraph"/>
      </w:pPr>
      <w:r w:rsidRPr="00F0402F">
        <w:t xml:space="preserve">The charity </w:t>
      </w:r>
      <w:r w:rsidR="00D82997">
        <w:t>Trustee</w:t>
      </w:r>
      <w:r w:rsidRPr="00F0402F">
        <w:t xml:space="preserve">s were neither paid nor received any other benefits from employment with the charity in the year (2020: £nil). One charity </w:t>
      </w:r>
      <w:r w:rsidR="00D82997">
        <w:t>Trustee</w:t>
      </w:r>
      <w:r w:rsidRPr="00F0402F">
        <w:t xml:space="preserve"> received payment for professional services supplied to the charity totalling £1,000 (2020: £nil). This payment was agreed before the </w:t>
      </w:r>
      <w:r w:rsidR="00D82997">
        <w:t>Trustee</w:t>
      </w:r>
      <w:r w:rsidRPr="00F0402F">
        <w:t xml:space="preserve"> had become a Board </w:t>
      </w:r>
      <w:proofErr w:type="gramStart"/>
      <w:r w:rsidRPr="00F0402F">
        <w:t>member, and</w:t>
      </w:r>
      <w:proofErr w:type="gramEnd"/>
      <w:r w:rsidRPr="00F0402F">
        <w:t xml:space="preserve"> was approved by the Board.</w:t>
      </w:r>
    </w:p>
    <w:p w14:paraId="17223DF9" w14:textId="77777777" w:rsidR="00F0402F" w:rsidRPr="00F0402F" w:rsidRDefault="00F0402F" w:rsidP="00F0402F">
      <w:pPr>
        <w:pStyle w:val="TableParagraph"/>
      </w:pPr>
    </w:p>
    <w:p w14:paraId="29429627" w14:textId="56F4DF42" w:rsidR="002D5C47" w:rsidRPr="00F0402F" w:rsidRDefault="00F0402F" w:rsidP="00F0402F">
      <w:pPr>
        <w:pStyle w:val="TableParagraph"/>
      </w:pPr>
      <w:r w:rsidRPr="00F0402F">
        <w:t xml:space="preserve">Trustees' expenses </w:t>
      </w:r>
      <w:proofErr w:type="gramStart"/>
      <w:r w:rsidRPr="00F0402F">
        <w:t>represents</w:t>
      </w:r>
      <w:proofErr w:type="gramEnd"/>
      <w:r w:rsidRPr="00F0402F">
        <w:t xml:space="preserve"> the payment or reimbursement of travel and subsistence costs. This totalled £0 (2020: £329) incurred by no (2020: one) members relating to attendance at meetings of the </w:t>
      </w:r>
      <w:r w:rsidR="00D82997">
        <w:t>Trustee</w:t>
      </w:r>
      <w:r w:rsidRPr="00F0402F">
        <w:t>s.</w:t>
      </w:r>
    </w:p>
    <w:p w14:paraId="112897C2" w14:textId="5D52A466" w:rsidR="002D5C47" w:rsidRDefault="002D5C47" w:rsidP="0017512E">
      <w:pPr>
        <w:pStyle w:val="ListNumber"/>
        <w:numPr>
          <w:ilvl w:val="0"/>
          <w:numId w:val="0"/>
        </w:numPr>
      </w:pPr>
    </w:p>
    <w:p w14:paraId="4679BC5D" w14:textId="77777777" w:rsidR="002D5C47" w:rsidRDefault="002D5C47" w:rsidP="002D5C47">
      <w:pPr>
        <w:pStyle w:val="ListNumber"/>
        <w:numPr>
          <w:ilvl w:val="0"/>
          <w:numId w:val="0"/>
        </w:numPr>
        <w:ind w:left="360" w:hanging="360"/>
      </w:pPr>
    </w:p>
    <w:p w14:paraId="0793EE75" w14:textId="636C23F1" w:rsidR="00F0402F" w:rsidRDefault="00F0402F" w:rsidP="00F0402F">
      <w:pPr>
        <w:pStyle w:val="ListNumber"/>
      </w:pPr>
      <w:r>
        <w:t>Staff numbers</w:t>
      </w:r>
    </w:p>
    <w:p w14:paraId="46ABAF97" w14:textId="71277A7A" w:rsidR="00F0402F" w:rsidRDefault="00F0402F" w:rsidP="00F0402F">
      <w:pPr>
        <w:pStyle w:val="TableParagraph"/>
      </w:pPr>
      <w:r w:rsidRPr="00F0402F">
        <w:t>The average number of employees (head count based on number of staff employed) during the year was as follows:</w:t>
      </w:r>
    </w:p>
    <w:p w14:paraId="129290DC" w14:textId="77777777" w:rsidR="00F0402F" w:rsidRDefault="00F0402F" w:rsidP="00F0402F">
      <w:pPr>
        <w:pStyle w:val="TableParagraph"/>
      </w:pPr>
    </w:p>
    <w:tbl>
      <w:tblPr>
        <w:tblStyle w:val="PlainTable4"/>
        <w:tblW w:w="8729" w:type="dxa"/>
        <w:tblLook w:val="04A0" w:firstRow="1" w:lastRow="0" w:firstColumn="1" w:lastColumn="0" w:noHBand="0" w:noVBand="1"/>
      </w:tblPr>
      <w:tblGrid>
        <w:gridCol w:w="5537"/>
        <w:gridCol w:w="1595"/>
        <w:gridCol w:w="1597"/>
      </w:tblGrid>
      <w:tr w:rsidR="00F0402F" w14:paraId="26255CC7" w14:textId="77777777" w:rsidTr="00330CA2">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1F278BF5" w14:textId="77777777" w:rsidR="00F0402F" w:rsidRDefault="00F0402F" w:rsidP="00330CA2">
            <w:pPr>
              <w:rPr>
                <w:sz w:val="16"/>
                <w:szCs w:val="16"/>
              </w:rPr>
            </w:pPr>
          </w:p>
          <w:p w14:paraId="4B30E775" w14:textId="77777777" w:rsidR="00F0402F" w:rsidRPr="001B1DFE" w:rsidRDefault="00F0402F" w:rsidP="00330CA2">
            <w:pPr>
              <w:rPr>
                <w:b w:val="0"/>
                <w:bCs w:val="0"/>
                <w:sz w:val="16"/>
                <w:szCs w:val="16"/>
              </w:rPr>
            </w:pPr>
          </w:p>
        </w:tc>
        <w:tc>
          <w:tcPr>
            <w:tcW w:w="1595" w:type="dxa"/>
            <w:vAlign w:val="center"/>
          </w:tcPr>
          <w:p w14:paraId="2E2C48D9" w14:textId="77777777" w:rsidR="00F0402F" w:rsidRPr="00ED12C5" w:rsidRDefault="00F0402F" w:rsidP="00330CA2">
            <w:pPr>
              <w:pStyle w:val="TableParagraph"/>
              <w:jc w:val="right"/>
              <w:cnfStyle w:val="100000000000" w:firstRow="1" w:lastRow="0" w:firstColumn="0" w:lastColumn="0" w:oddVBand="0" w:evenVBand="0" w:oddHBand="0" w:evenHBand="0" w:firstRowFirstColumn="0" w:firstRowLastColumn="0" w:lastRowFirstColumn="0" w:lastRowLastColumn="0"/>
            </w:pPr>
            <w:r w:rsidRPr="00ED12C5">
              <w:t>2021</w:t>
            </w:r>
          </w:p>
          <w:p w14:paraId="5FDE6D87" w14:textId="494204A5" w:rsidR="00F0402F" w:rsidRPr="00ED12C5" w:rsidRDefault="00015F7B" w:rsidP="00330CA2">
            <w:pPr>
              <w:pStyle w:val="TableParagraph"/>
              <w:jc w:val="right"/>
              <w:cnfStyle w:val="100000000000" w:firstRow="1" w:lastRow="0" w:firstColumn="0" w:lastColumn="0" w:oddVBand="0" w:evenVBand="0" w:oddHBand="0" w:evenHBand="0" w:firstRowFirstColumn="0" w:firstRowLastColumn="0" w:lastRowFirstColumn="0" w:lastRowLastColumn="0"/>
            </w:pPr>
            <w:r w:rsidRPr="00ED12C5">
              <w:t>No.</w:t>
            </w:r>
          </w:p>
        </w:tc>
        <w:tc>
          <w:tcPr>
            <w:tcW w:w="1597" w:type="dxa"/>
            <w:vAlign w:val="center"/>
          </w:tcPr>
          <w:p w14:paraId="731CB23A" w14:textId="77777777" w:rsidR="00F0402F" w:rsidRPr="00ED12C5" w:rsidRDefault="00F0402F" w:rsidP="00330CA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ED12C5">
              <w:rPr>
                <w:b w:val="0"/>
                <w:bCs w:val="0"/>
              </w:rPr>
              <w:t>2020</w:t>
            </w:r>
          </w:p>
          <w:p w14:paraId="054AEAFB" w14:textId="5BE08174" w:rsidR="00F0402F" w:rsidRPr="001B1DFE" w:rsidRDefault="00015F7B" w:rsidP="00015F7B">
            <w:pPr>
              <w:pStyle w:val="TableParagraph"/>
              <w:jc w:val="right"/>
              <w:cnfStyle w:val="100000000000" w:firstRow="1" w:lastRow="0" w:firstColumn="0" w:lastColumn="0" w:oddVBand="0" w:evenVBand="0" w:oddHBand="0" w:evenHBand="0" w:firstRowFirstColumn="0" w:firstRowLastColumn="0" w:lastRowFirstColumn="0" w:lastRowLastColumn="0"/>
            </w:pPr>
            <w:r w:rsidRPr="00ED12C5">
              <w:rPr>
                <w:b w:val="0"/>
                <w:bCs w:val="0"/>
              </w:rPr>
              <w:t>No.</w:t>
            </w:r>
          </w:p>
        </w:tc>
      </w:tr>
      <w:tr w:rsidR="00015F7B" w:rsidRPr="00264C3D" w14:paraId="4980737D" w14:textId="77777777" w:rsidTr="004D6D4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tcPr>
          <w:p w14:paraId="0264FD9D" w14:textId="70E20BF0" w:rsidR="00015F7B" w:rsidRPr="00015F7B" w:rsidRDefault="00015F7B" w:rsidP="00015F7B">
            <w:pPr>
              <w:pStyle w:val="TableParagraph"/>
              <w:rPr>
                <w:b w:val="0"/>
                <w:bCs w:val="0"/>
              </w:rPr>
            </w:pPr>
            <w:r w:rsidRPr="00015F7B">
              <w:rPr>
                <w:rFonts w:ascii="Calibri" w:hAnsi="Calibri" w:cs="Calibri"/>
                <w:b w:val="0"/>
                <w:bCs w:val="0"/>
                <w:sz w:val="20"/>
                <w:szCs w:val="20"/>
              </w:rPr>
              <w:t>Office and management</w:t>
            </w:r>
          </w:p>
        </w:tc>
        <w:tc>
          <w:tcPr>
            <w:tcW w:w="1595" w:type="dxa"/>
            <w:vAlign w:val="center"/>
          </w:tcPr>
          <w:p w14:paraId="77620FCD" w14:textId="04AC9505" w:rsidR="00015F7B" w:rsidRPr="00ED12C5" w:rsidRDefault="00ED12C5" w:rsidP="00015F7B">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ED12C5">
              <w:rPr>
                <w:b/>
                <w:bCs/>
              </w:rPr>
              <w:t>5</w:t>
            </w:r>
          </w:p>
        </w:tc>
        <w:tc>
          <w:tcPr>
            <w:tcW w:w="1597" w:type="dxa"/>
            <w:vAlign w:val="center"/>
          </w:tcPr>
          <w:p w14:paraId="08052C48" w14:textId="1C01C79D" w:rsidR="00015F7B" w:rsidRPr="00264C3D" w:rsidRDefault="00ED12C5" w:rsidP="00015F7B">
            <w:pPr>
              <w:pStyle w:val="TableParagraph"/>
              <w:jc w:val="right"/>
              <w:cnfStyle w:val="000000100000" w:firstRow="0" w:lastRow="0" w:firstColumn="0" w:lastColumn="0" w:oddVBand="0" w:evenVBand="0" w:oddHBand="1" w:evenHBand="0" w:firstRowFirstColumn="0" w:firstRowLastColumn="0" w:lastRowFirstColumn="0" w:lastRowLastColumn="0"/>
            </w:pPr>
            <w:r>
              <w:t>6</w:t>
            </w:r>
          </w:p>
        </w:tc>
      </w:tr>
      <w:tr w:rsidR="00015F7B" w:rsidRPr="00264C3D" w14:paraId="68E2CDD8" w14:textId="77777777" w:rsidTr="004D6D4A">
        <w:trPr>
          <w:trHeight w:val="277"/>
        </w:trPr>
        <w:tc>
          <w:tcPr>
            <w:cnfStyle w:val="001000000000" w:firstRow="0" w:lastRow="0" w:firstColumn="1" w:lastColumn="0" w:oddVBand="0" w:evenVBand="0" w:oddHBand="0" w:evenHBand="0" w:firstRowFirstColumn="0" w:firstRowLastColumn="0" w:lastRowFirstColumn="0" w:lastRowLastColumn="0"/>
            <w:tcW w:w="5537" w:type="dxa"/>
          </w:tcPr>
          <w:p w14:paraId="5FDB5820" w14:textId="2AF0DCEA" w:rsidR="00015F7B" w:rsidRPr="00015F7B" w:rsidRDefault="00015F7B" w:rsidP="00015F7B">
            <w:pPr>
              <w:pStyle w:val="TableParagraph"/>
              <w:rPr>
                <w:b w:val="0"/>
                <w:bCs w:val="0"/>
              </w:rPr>
            </w:pPr>
            <w:r w:rsidRPr="00015F7B">
              <w:rPr>
                <w:rFonts w:ascii="Calibri" w:hAnsi="Calibri" w:cs="Calibri"/>
                <w:b w:val="0"/>
                <w:bCs w:val="0"/>
                <w:sz w:val="20"/>
                <w:szCs w:val="20"/>
              </w:rPr>
              <w:t xml:space="preserve">Fundraising, </w:t>
            </w:r>
            <w:proofErr w:type="gramStart"/>
            <w:r w:rsidRPr="00015F7B">
              <w:rPr>
                <w:rFonts w:ascii="Calibri" w:hAnsi="Calibri" w:cs="Calibri"/>
                <w:b w:val="0"/>
                <w:bCs w:val="0"/>
                <w:sz w:val="20"/>
                <w:szCs w:val="20"/>
              </w:rPr>
              <w:t>publicity</w:t>
            </w:r>
            <w:proofErr w:type="gramEnd"/>
            <w:r w:rsidRPr="00015F7B">
              <w:rPr>
                <w:rFonts w:ascii="Calibri" w:hAnsi="Calibri" w:cs="Calibri"/>
                <w:b w:val="0"/>
                <w:bCs w:val="0"/>
                <w:sz w:val="20"/>
                <w:szCs w:val="20"/>
              </w:rPr>
              <w:t xml:space="preserve"> and collections</w:t>
            </w:r>
          </w:p>
        </w:tc>
        <w:tc>
          <w:tcPr>
            <w:tcW w:w="1595" w:type="dxa"/>
            <w:vAlign w:val="center"/>
          </w:tcPr>
          <w:p w14:paraId="7CD0BC08" w14:textId="2E1EB7F7" w:rsidR="00015F7B" w:rsidRPr="00ED12C5" w:rsidRDefault="00ED12C5" w:rsidP="00015F7B">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ED12C5">
              <w:rPr>
                <w:b/>
                <w:bCs/>
              </w:rPr>
              <w:t>11</w:t>
            </w:r>
          </w:p>
        </w:tc>
        <w:tc>
          <w:tcPr>
            <w:tcW w:w="1597" w:type="dxa"/>
            <w:vAlign w:val="center"/>
          </w:tcPr>
          <w:p w14:paraId="6ECA7B23" w14:textId="1FCDF1E6" w:rsidR="00015F7B" w:rsidRPr="00264C3D" w:rsidRDefault="00ED12C5" w:rsidP="00015F7B">
            <w:pPr>
              <w:pStyle w:val="TableParagraph"/>
              <w:jc w:val="right"/>
              <w:cnfStyle w:val="000000000000" w:firstRow="0" w:lastRow="0" w:firstColumn="0" w:lastColumn="0" w:oddVBand="0" w:evenVBand="0" w:oddHBand="0" w:evenHBand="0" w:firstRowFirstColumn="0" w:firstRowLastColumn="0" w:lastRowFirstColumn="0" w:lastRowLastColumn="0"/>
            </w:pPr>
            <w:r>
              <w:t>12</w:t>
            </w:r>
          </w:p>
        </w:tc>
      </w:tr>
      <w:tr w:rsidR="00015F7B" w:rsidRPr="00264C3D" w14:paraId="389656E7" w14:textId="77777777" w:rsidTr="004D6D4A">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tcPr>
          <w:p w14:paraId="5FFFD978" w14:textId="7557D80B" w:rsidR="00015F7B" w:rsidRPr="00015F7B" w:rsidRDefault="00015F7B" w:rsidP="00015F7B">
            <w:pPr>
              <w:pStyle w:val="TableParagraph"/>
              <w:rPr>
                <w:b w:val="0"/>
                <w:bCs w:val="0"/>
              </w:rPr>
            </w:pPr>
            <w:r w:rsidRPr="00015F7B">
              <w:rPr>
                <w:rFonts w:ascii="Calibri" w:hAnsi="Calibri" w:cs="Calibri"/>
                <w:b w:val="0"/>
                <w:bCs w:val="0"/>
                <w:sz w:val="20"/>
                <w:szCs w:val="20"/>
              </w:rPr>
              <w:t>Grant making</w:t>
            </w:r>
          </w:p>
        </w:tc>
        <w:tc>
          <w:tcPr>
            <w:tcW w:w="1595" w:type="dxa"/>
            <w:vAlign w:val="center"/>
          </w:tcPr>
          <w:p w14:paraId="7546B00D" w14:textId="6B843919" w:rsidR="00015F7B" w:rsidRPr="00ED12C5" w:rsidRDefault="00ED12C5" w:rsidP="00015F7B">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ED12C5">
              <w:rPr>
                <w:b/>
                <w:bCs/>
              </w:rPr>
              <w:t>2</w:t>
            </w:r>
          </w:p>
        </w:tc>
        <w:tc>
          <w:tcPr>
            <w:tcW w:w="1597" w:type="dxa"/>
            <w:vAlign w:val="center"/>
          </w:tcPr>
          <w:p w14:paraId="33DCCC4C" w14:textId="77777777" w:rsidR="00015F7B" w:rsidRPr="00264C3D" w:rsidRDefault="00015F7B" w:rsidP="00015F7B">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015F7B" w:rsidRPr="00264C3D" w14:paraId="1F96DFE9" w14:textId="77777777" w:rsidTr="004D6D4A">
        <w:trPr>
          <w:trHeight w:val="277"/>
        </w:trPr>
        <w:tc>
          <w:tcPr>
            <w:cnfStyle w:val="001000000000" w:firstRow="0" w:lastRow="0" w:firstColumn="1" w:lastColumn="0" w:oddVBand="0" w:evenVBand="0" w:oddHBand="0" w:evenHBand="0" w:firstRowFirstColumn="0" w:firstRowLastColumn="0" w:lastRowFirstColumn="0" w:lastRowLastColumn="0"/>
            <w:tcW w:w="5537" w:type="dxa"/>
          </w:tcPr>
          <w:p w14:paraId="7A90A6D8" w14:textId="4608126F" w:rsidR="00015F7B" w:rsidRPr="00015F7B" w:rsidRDefault="00015F7B" w:rsidP="00015F7B">
            <w:pPr>
              <w:pStyle w:val="TableParagraph"/>
              <w:rPr>
                <w:b w:val="0"/>
                <w:bCs w:val="0"/>
              </w:rPr>
            </w:pPr>
            <w:r w:rsidRPr="00015F7B">
              <w:rPr>
                <w:rFonts w:ascii="Calibri" w:hAnsi="Calibri" w:cs="Calibri"/>
                <w:b w:val="0"/>
                <w:bCs w:val="0"/>
                <w:sz w:val="20"/>
                <w:szCs w:val="20"/>
              </w:rPr>
              <w:t>Trading activities</w:t>
            </w:r>
          </w:p>
        </w:tc>
        <w:tc>
          <w:tcPr>
            <w:tcW w:w="1595" w:type="dxa"/>
            <w:vAlign w:val="center"/>
          </w:tcPr>
          <w:p w14:paraId="1A5D9EE3" w14:textId="798A2793" w:rsidR="00015F7B" w:rsidRPr="00ED12C5" w:rsidRDefault="00ED12C5" w:rsidP="00015F7B">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ED12C5">
              <w:rPr>
                <w:b/>
                <w:bCs/>
              </w:rPr>
              <w:t>21</w:t>
            </w:r>
          </w:p>
        </w:tc>
        <w:tc>
          <w:tcPr>
            <w:tcW w:w="1597" w:type="dxa"/>
            <w:vAlign w:val="center"/>
          </w:tcPr>
          <w:p w14:paraId="14A52C08" w14:textId="526AABF3" w:rsidR="00015F7B" w:rsidRPr="00264C3D" w:rsidRDefault="00ED12C5" w:rsidP="00015F7B">
            <w:pPr>
              <w:pStyle w:val="TableParagraph"/>
              <w:jc w:val="right"/>
              <w:cnfStyle w:val="000000000000" w:firstRow="0" w:lastRow="0" w:firstColumn="0" w:lastColumn="0" w:oddVBand="0" w:evenVBand="0" w:oddHBand="0" w:evenHBand="0" w:firstRowFirstColumn="0" w:firstRowLastColumn="0" w:lastRowFirstColumn="0" w:lastRowLastColumn="0"/>
            </w:pPr>
            <w:r>
              <w:t>21</w:t>
            </w:r>
          </w:p>
        </w:tc>
      </w:tr>
      <w:tr w:rsidR="00F0402F" w:rsidRPr="00264C3D" w14:paraId="47105517" w14:textId="77777777" w:rsidTr="00ED12C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3CFAB2A7" w14:textId="77777777" w:rsidR="00F0402F" w:rsidRPr="00264C3D" w:rsidRDefault="00F0402F" w:rsidP="00330CA2">
            <w:pPr>
              <w:pStyle w:val="TableParagraph"/>
            </w:pPr>
          </w:p>
        </w:tc>
        <w:tc>
          <w:tcPr>
            <w:tcW w:w="1595" w:type="dxa"/>
            <w:tcBorders>
              <w:top w:val="single" w:sz="4" w:space="0" w:color="auto"/>
              <w:bottom w:val="double" w:sz="4" w:space="0" w:color="auto"/>
            </w:tcBorders>
            <w:vAlign w:val="center"/>
          </w:tcPr>
          <w:p w14:paraId="78A480EA" w14:textId="2EEED8D9" w:rsidR="00F0402F" w:rsidRPr="00ED12C5" w:rsidRDefault="00ED12C5" w:rsidP="00330CA2">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ED12C5">
              <w:rPr>
                <w:b/>
                <w:bCs/>
              </w:rPr>
              <w:t>39</w:t>
            </w:r>
          </w:p>
        </w:tc>
        <w:tc>
          <w:tcPr>
            <w:tcW w:w="1597" w:type="dxa"/>
            <w:tcBorders>
              <w:top w:val="single" w:sz="4" w:space="0" w:color="auto"/>
              <w:bottom w:val="double" w:sz="4" w:space="0" w:color="auto"/>
            </w:tcBorders>
            <w:vAlign w:val="center"/>
          </w:tcPr>
          <w:p w14:paraId="59F27F73" w14:textId="5A7DDFFF" w:rsidR="00F0402F" w:rsidRPr="00264C3D" w:rsidRDefault="00ED12C5" w:rsidP="00330CA2">
            <w:pPr>
              <w:pStyle w:val="TableParagraph"/>
              <w:jc w:val="right"/>
              <w:cnfStyle w:val="000000100000" w:firstRow="0" w:lastRow="0" w:firstColumn="0" w:lastColumn="0" w:oddVBand="0" w:evenVBand="0" w:oddHBand="1" w:evenHBand="0" w:firstRowFirstColumn="0" w:firstRowLastColumn="0" w:lastRowFirstColumn="0" w:lastRowLastColumn="0"/>
            </w:pPr>
            <w:r>
              <w:t>39</w:t>
            </w:r>
          </w:p>
        </w:tc>
      </w:tr>
    </w:tbl>
    <w:p w14:paraId="2F3BAB4E" w14:textId="4F1B5FEF" w:rsidR="00F0402F" w:rsidRDefault="00F0402F" w:rsidP="00F0402F">
      <w:pPr>
        <w:pStyle w:val="ListNumber"/>
        <w:numPr>
          <w:ilvl w:val="0"/>
          <w:numId w:val="0"/>
        </w:numPr>
        <w:ind w:left="360" w:hanging="360"/>
      </w:pPr>
    </w:p>
    <w:p w14:paraId="683C26FE" w14:textId="66B0CFF0" w:rsidR="0017512E" w:rsidRDefault="0017512E" w:rsidP="00F0402F">
      <w:pPr>
        <w:pStyle w:val="ListNumber"/>
        <w:numPr>
          <w:ilvl w:val="0"/>
          <w:numId w:val="0"/>
        </w:numPr>
        <w:ind w:left="360" w:hanging="360"/>
      </w:pPr>
    </w:p>
    <w:p w14:paraId="28261915" w14:textId="6D978632" w:rsidR="0017512E" w:rsidRDefault="0017512E" w:rsidP="0017512E">
      <w:pPr>
        <w:pStyle w:val="ListNumber"/>
      </w:pPr>
      <w:r w:rsidRPr="0017512E">
        <w:t>Related party transactions</w:t>
      </w:r>
    </w:p>
    <w:p w14:paraId="5611AC4C" w14:textId="77777777" w:rsidR="00C74404" w:rsidRDefault="00C74404" w:rsidP="00C74404">
      <w:pPr>
        <w:pStyle w:val="TableParagraph"/>
      </w:pPr>
    </w:p>
    <w:p w14:paraId="64BC0DD6" w14:textId="4E150062" w:rsidR="00C74404" w:rsidRDefault="00C74404" w:rsidP="00C74404">
      <w:pPr>
        <w:pStyle w:val="TableParagraph"/>
      </w:pPr>
      <w:r>
        <w:t xml:space="preserve">In 2020/21, two </w:t>
      </w:r>
      <w:r w:rsidR="00D82997">
        <w:t>Trustee</w:t>
      </w:r>
      <w:r>
        <w:t xml:space="preserve">s of the Fund, B. Hughes and S. Mansour were also </w:t>
      </w:r>
      <w:r w:rsidR="00D82997">
        <w:t>Trustee</w:t>
      </w:r>
      <w:r>
        <w:t>s of Sight for Surrey and Croydon Vision, respectively, acting as our Member Trustees in line with the Articles of Association. In 2019/20 Sight for Surrey received a distribution of £112,400, of which £nil remained unpaid at year end. Croydon Vision received a distribution of £112,400, of which £90,000 remained unpaid at the year end. In 2020/21 neither organisation received a distribution.</w:t>
      </w:r>
    </w:p>
    <w:p w14:paraId="1BA86F8B" w14:textId="77777777" w:rsidR="00C74404" w:rsidRDefault="00C74404" w:rsidP="00C74404">
      <w:pPr>
        <w:pStyle w:val="TableParagraph"/>
      </w:pPr>
    </w:p>
    <w:p w14:paraId="6904167C" w14:textId="47C64095" w:rsidR="00C74404" w:rsidRPr="00C74404" w:rsidRDefault="00C74404" w:rsidP="00C74404">
      <w:pPr>
        <w:pStyle w:val="TableParagraph"/>
      </w:pPr>
      <w:r>
        <w:t>There are no donations from related parties which are outside the normal course of business and no restricted donations from related parties.</w:t>
      </w:r>
    </w:p>
    <w:p w14:paraId="06B0E07B" w14:textId="4AA0781E" w:rsidR="00C74404" w:rsidRDefault="00C74404" w:rsidP="00C74404">
      <w:pPr>
        <w:pStyle w:val="ListNumber"/>
        <w:numPr>
          <w:ilvl w:val="0"/>
          <w:numId w:val="0"/>
        </w:numPr>
        <w:ind w:left="360" w:hanging="360"/>
      </w:pPr>
    </w:p>
    <w:p w14:paraId="092D01E6" w14:textId="77777777" w:rsidR="00C74404" w:rsidRDefault="00C74404" w:rsidP="00C74404">
      <w:pPr>
        <w:pStyle w:val="ListNumber"/>
        <w:numPr>
          <w:ilvl w:val="0"/>
          <w:numId w:val="0"/>
        </w:numPr>
        <w:ind w:left="360" w:hanging="360"/>
      </w:pPr>
    </w:p>
    <w:p w14:paraId="67017A85" w14:textId="0EBB9373" w:rsidR="0017512E" w:rsidRDefault="0017512E" w:rsidP="0017512E">
      <w:pPr>
        <w:pStyle w:val="ListNumber"/>
      </w:pPr>
      <w:r w:rsidRPr="0017512E">
        <w:t>Taxation</w:t>
      </w:r>
    </w:p>
    <w:p w14:paraId="2740386E" w14:textId="1A67A7B8" w:rsidR="00C74404" w:rsidRDefault="00C74404" w:rsidP="00ED12C5">
      <w:pPr>
        <w:pStyle w:val="TableParagraph"/>
      </w:pPr>
      <w:r w:rsidRPr="00C74404">
        <w:t>The charity is exempt from corporation tax as all its income is charitable and is applied for charitable purposes. The charity's trading subsidiary G.L.F. Charitable Purposes Trading Company Limited has historically distributed all available profits to the parent charity. The company did not distribute its profits for 2019/20 and therefore had a charge to corporation tax. The company did not make a profit in 2020/21, so has no distributable profits and is able to reclaim prior year tax.</w:t>
      </w:r>
    </w:p>
    <w:tbl>
      <w:tblPr>
        <w:tblStyle w:val="PlainTable4"/>
        <w:tblW w:w="8729" w:type="dxa"/>
        <w:tblLook w:val="04A0" w:firstRow="1" w:lastRow="0" w:firstColumn="1" w:lastColumn="0" w:noHBand="0" w:noVBand="1"/>
      </w:tblPr>
      <w:tblGrid>
        <w:gridCol w:w="5537"/>
        <w:gridCol w:w="1595"/>
        <w:gridCol w:w="1597"/>
      </w:tblGrid>
      <w:tr w:rsidR="00ED12C5" w:rsidRPr="001B1DFE" w14:paraId="7AEE84F3" w14:textId="77777777" w:rsidTr="00EB3246">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537" w:type="dxa"/>
            <w:vAlign w:val="center"/>
          </w:tcPr>
          <w:p w14:paraId="42F584E4" w14:textId="77777777" w:rsidR="00ED12C5" w:rsidRDefault="00ED12C5" w:rsidP="00EB3246">
            <w:pPr>
              <w:rPr>
                <w:sz w:val="16"/>
                <w:szCs w:val="16"/>
              </w:rPr>
            </w:pPr>
          </w:p>
          <w:p w14:paraId="5FF7FDC3" w14:textId="77777777" w:rsidR="00ED12C5" w:rsidRPr="001B1DFE" w:rsidRDefault="00ED12C5" w:rsidP="00EB3246">
            <w:pPr>
              <w:rPr>
                <w:b w:val="0"/>
                <w:bCs w:val="0"/>
                <w:sz w:val="16"/>
                <w:szCs w:val="16"/>
              </w:rPr>
            </w:pPr>
          </w:p>
        </w:tc>
        <w:tc>
          <w:tcPr>
            <w:tcW w:w="1595" w:type="dxa"/>
            <w:vAlign w:val="center"/>
          </w:tcPr>
          <w:p w14:paraId="47CF0100" w14:textId="77777777" w:rsidR="00ED12C5" w:rsidRPr="00ED12C5" w:rsidRDefault="00ED12C5" w:rsidP="00EB3246">
            <w:pPr>
              <w:pStyle w:val="TableParagraph"/>
              <w:jc w:val="right"/>
              <w:cnfStyle w:val="100000000000" w:firstRow="1" w:lastRow="0" w:firstColumn="0" w:lastColumn="0" w:oddVBand="0" w:evenVBand="0" w:oddHBand="0" w:evenHBand="0" w:firstRowFirstColumn="0" w:firstRowLastColumn="0" w:lastRowFirstColumn="0" w:lastRowLastColumn="0"/>
            </w:pPr>
            <w:r w:rsidRPr="00ED12C5">
              <w:t>2021</w:t>
            </w:r>
          </w:p>
          <w:p w14:paraId="6B662AB3" w14:textId="04D5CFD9" w:rsidR="00ED12C5" w:rsidRPr="00ED12C5" w:rsidRDefault="00ED12C5" w:rsidP="00EB3246">
            <w:pPr>
              <w:pStyle w:val="TableParagraph"/>
              <w:jc w:val="right"/>
              <w:cnfStyle w:val="100000000000" w:firstRow="1" w:lastRow="0" w:firstColumn="0" w:lastColumn="0" w:oddVBand="0" w:evenVBand="0" w:oddHBand="0" w:evenHBand="0" w:firstRowFirstColumn="0" w:firstRowLastColumn="0" w:lastRowFirstColumn="0" w:lastRowLastColumn="0"/>
            </w:pPr>
            <w:r>
              <w:t>£</w:t>
            </w:r>
          </w:p>
        </w:tc>
        <w:tc>
          <w:tcPr>
            <w:tcW w:w="1597" w:type="dxa"/>
            <w:vAlign w:val="center"/>
          </w:tcPr>
          <w:p w14:paraId="4980FCBA" w14:textId="77777777" w:rsidR="00ED12C5" w:rsidRPr="00ED12C5" w:rsidRDefault="00ED12C5" w:rsidP="00EB3246">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ED12C5">
              <w:rPr>
                <w:b w:val="0"/>
                <w:bCs w:val="0"/>
              </w:rPr>
              <w:t>2020</w:t>
            </w:r>
          </w:p>
          <w:p w14:paraId="746C5464" w14:textId="282C44CF" w:rsidR="00ED12C5" w:rsidRPr="00ED12C5" w:rsidRDefault="00ED12C5" w:rsidP="00EB3246">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ED12C5">
              <w:rPr>
                <w:b w:val="0"/>
                <w:bCs w:val="0"/>
              </w:rPr>
              <w:t>£</w:t>
            </w:r>
          </w:p>
        </w:tc>
      </w:tr>
      <w:tr w:rsidR="00ED12C5" w:rsidRPr="00264C3D" w14:paraId="03B2A2CD" w14:textId="77777777" w:rsidTr="00EB324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537" w:type="dxa"/>
          </w:tcPr>
          <w:p w14:paraId="2B6F4B99" w14:textId="22105C7F" w:rsidR="00ED12C5" w:rsidRPr="00015F7B" w:rsidRDefault="00ED12C5" w:rsidP="00EB3246">
            <w:pPr>
              <w:pStyle w:val="TableParagraph"/>
              <w:rPr>
                <w:b w:val="0"/>
                <w:bCs w:val="0"/>
              </w:rPr>
            </w:pPr>
            <w:r w:rsidRPr="00ED12C5">
              <w:rPr>
                <w:rFonts w:ascii="Calibri" w:hAnsi="Calibri" w:cs="Calibri"/>
                <w:b w:val="0"/>
                <w:bCs w:val="0"/>
                <w:sz w:val="20"/>
                <w:szCs w:val="20"/>
              </w:rPr>
              <w:t>UK corporation tax at 19% (2020: 19%)</w:t>
            </w:r>
          </w:p>
        </w:tc>
        <w:tc>
          <w:tcPr>
            <w:tcW w:w="1595" w:type="dxa"/>
            <w:vAlign w:val="center"/>
          </w:tcPr>
          <w:p w14:paraId="67B40705" w14:textId="2BE73671" w:rsidR="00ED12C5" w:rsidRPr="00ED12C5"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Pr>
                <w:b/>
                <w:bCs/>
              </w:rPr>
              <w:t>(24,287)</w:t>
            </w:r>
          </w:p>
        </w:tc>
        <w:tc>
          <w:tcPr>
            <w:tcW w:w="1597" w:type="dxa"/>
            <w:vAlign w:val="center"/>
          </w:tcPr>
          <w:p w14:paraId="007E2DE0" w14:textId="492137D4" w:rsidR="00ED12C5" w:rsidRPr="00ED12C5"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pPr>
            <w:r w:rsidRPr="00ED12C5">
              <w:t>24,287</w:t>
            </w:r>
          </w:p>
        </w:tc>
      </w:tr>
    </w:tbl>
    <w:p w14:paraId="6556848B" w14:textId="4327A7F4" w:rsidR="00C74404" w:rsidRDefault="00C74404" w:rsidP="00C74404">
      <w:pPr>
        <w:pStyle w:val="ListNumber"/>
        <w:numPr>
          <w:ilvl w:val="0"/>
          <w:numId w:val="0"/>
        </w:numPr>
        <w:ind w:left="360" w:hanging="360"/>
      </w:pPr>
    </w:p>
    <w:p w14:paraId="63632536" w14:textId="77777777" w:rsidR="00C74404" w:rsidRDefault="00C74404" w:rsidP="00C74404">
      <w:pPr>
        <w:pStyle w:val="ListNumber"/>
        <w:numPr>
          <w:ilvl w:val="0"/>
          <w:numId w:val="0"/>
        </w:numPr>
        <w:ind w:left="360" w:hanging="360"/>
      </w:pPr>
    </w:p>
    <w:p w14:paraId="2FE53EAC" w14:textId="77777777" w:rsidR="00672FA8" w:rsidRDefault="00672FA8">
      <w:pPr>
        <w:widowControl/>
        <w:autoSpaceDE/>
        <w:autoSpaceDN/>
        <w:rPr>
          <w:b/>
          <w:sz w:val="28"/>
        </w:rPr>
      </w:pPr>
      <w:r>
        <w:br w:type="page"/>
      </w:r>
    </w:p>
    <w:p w14:paraId="557EC296" w14:textId="60FB9DE5" w:rsidR="0017512E" w:rsidRDefault="0017512E" w:rsidP="0017512E">
      <w:pPr>
        <w:pStyle w:val="ListNumber"/>
      </w:pPr>
      <w:r w:rsidRPr="0017512E">
        <w:lastRenderedPageBreak/>
        <w:t>Tangible fixed assets</w:t>
      </w:r>
    </w:p>
    <w:tbl>
      <w:tblPr>
        <w:tblStyle w:val="PlainTable4"/>
        <w:tblW w:w="9015" w:type="dxa"/>
        <w:tblInd w:w="-5" w:type="dxa"/>
        <w:tblCellMar>
          <w:left w:w="28" w:type="dxa"/>
          <w:right w:w="28" w:type="dxa"/>
        </w:tblCellMar>
        <w:tblLook w:val="04A0" w:firstRow="1" w:lastRow="0" w:firstColumn="1" w:lastColumn="0" w:noHBand="0" w:noVBand="1"/>
      </w:tblPr>
      <w:tblGrid>
        <w:gridCol w:w="2058"/>
        <w:gridCol w:w="921"/>
        <w:gridCol w:w="854"/>
        <w:gridCol w:w="1228"/>
        <w:gridCol w:w="1075"/>
        <w:gridCol w:w="950"/>
        <w:gridCol w:w="972"/>
        <w:gridCol w:w="957"/>
      </w:tblGrid>
      <w:tr w:rsidR="00205472" w:rsidRPr="00205472" w14:paraId="66F3B99F" w14:textId="495E471D" w:rsidTr="00D8299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05128362" w14:textId="13F54757" w:rsidR="00205472" w:rsidRPr="00205472" w:rsidRDefault="00205472" w:rsidP="00205472">
            <w:pPr>
              <w:pStyle w:val="TableParagraph"/>
            </w:pPr>
            <w:r w:rsidRPr="00205472">
              <w:t>The group</w:t>
            </w:r>
          </w:p>
        </w:tc>
        <w:tc>
          <w:tcPr>
            <w:tcW w:w="921" w:type="dxa"/>
            <w:vAlign w:val="center"/>
          </w:tcPr>
          <w:p w14:paraId="3246F5BC" w14:textId="47A6CA79" w:rsidR="00205472" w:rsidRPr="00205472" w:rsidRDefault="00205472" w:rsidP="00D82997">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205472">
              <w:rPr>
                <w:b w:val="0"/>
                <w:bCs w:val="0"/>
              </w:rPr>
              <w:t>Freehold property</w:t>
            </w:r>
          </w:p>
        </w:tc>
        <w:tc>
          <w:tcPr>
            <w:tcW w:w="854" w:type="dxa"/>
            <w:vAlign w:val="center"/>
          </w:tcPr>
          <w:p w14:paraId="674DEA70" w14:textId="66D29536" w:rsidR="00205472" w:rsidRPr="00205472" w:rsidRDefault="00205472" w:rsidP="00D82997">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205472">
              <w:rPr>
                <w:b w:val="0"/>
                <w:bCs w:val="0"/>
              </w:rPr>
              <w:t>Motor vehicles</w:t>
            </w:r>
          </w:p>
        </w:tc>
        <w:tc>
          <w:tcPr>
            <w:tcW w:w="1228" w:type="dxa"/>
            <w:vAlign w:val="center"/>
          </w:tcPr>
          <w:p w14:paraId="3327ACEB" w14:textId="28F2FBD4" w:rsidR="00205472" w:rsidRPr="00205472" w:rsidRDefault="00205472" w:rsidP="00D82997">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205472">
              <w:rPr>
                <w:b w:val="0"/>
                <w:bCs w:val="0"/>
              </w:rPr>
              <w:t>Leasehold Improvements</w:t>
            </w:r>
          </w:p>
        </w:tc>
        <w:tc>
          <w:tcPr>
            <w:tcW w:w="1075" w:type="dxa"/>
            <w:vAlign w:val="center"/>
          </w:tcPr>
          <w:p w14:paraId="1421923C" w14:textId="7015F6C3" w:rsidR="00205472" w:rsidRPr="00205472" w:rsidRDefault="00205472" w:rsidP="00D82997">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205472">
              <w:rPr>
                <w:b w:val="0"/>
                <w:bCs w:val="0"/>
              </w:rPr>
              <w:t>Furniture and office equipment</w:t>
            </w:r>
          </w:p>
        </w:tc>
        <w:tc>
          <w:tcPr>
            <w:tcW w:w="950" w:type="dxa"/>
            <w:vAlign w:val="center"/>
          </w:tcPr>
          <w:p w14:paraId="15C1BB9D" w14:textId="591AABEC" w:rsidR="00205472" w:rsidRPr="00205472" w:rsidRDefault="00205472" w:rsidP="00D82997">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205472">
              <w:rPr>
                <w:b w:val="0"/>
                <w:bCs w:val="0"/>
              </w:rPr>
              <w:t>Database</w:t>
            </w:r>
          </w:p>
        </w:tc>
        <w:tc>
          <w:tcPr>
            <w:tcW w:w="972" w:type="dxa"/>
            <w:vAlign w:val="center"/>
          </w:tcPr>
          <w:p w14:paraId="36E83780" w14:textId="6483839A" w:rsidR="00205472" w:rsidRPr="00205472" w:rsidRDefault="00205472" w:rsidP="00D82997">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205472">
              <w:rPr>
                <w:b w:val="0"/>
                <w:bCs w:val="0"/>
              </w:rPr>
              <w:t>Models and collection materials</w:t>
            </w:r>
          </w:p>
        </w:tc>
        <w:tc>
          <w:tcPr>
            <w:tcW w:w="957" w:type="dxa"/>
            <w:vAlign w:val="center"/>
          </w:tcPr>
          <w:p w14:paraId="40DB04DE" w14:textId="4A3A8CF1" w:rsidR="00205472" w:rsidRPr="00D82997" w:rsidRDefault="00205472" w:rsidP="00D82997">
            <w:pPr>
              <w:pStyle w:val="TableParagraph"/>
              <w:jc w:val="right"/>
              <w:cnfStyle w:val="100000000000" w:firstRow="1" w:lastRow="0" w:firstColumn="0" w:lastColumn="0" w:oddVBand="0" w:evenVBand="0" w:oddHBand="0" w:evenHBand="0" w:firstRowFirstColumn="0" w:firstRowLastColumn="0" w:lastRowFirstColumn="0" w:lastRowLastColumn="0"/>
            </w:pPr>
            <w:r w:rsidRPr="00D82997">
              <w:t>Total</w:t>
            </w:r>
          </w:p>
        </w:tc>
      </w:tr>
      <w:tr w:rsidR="00205472" w:rsidRPr="00205472" w14:paraId="415EAEAF" w14:textId="2D56909E"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2F2500F3" w14:textId="70A1A1D4" w:rsidR="00205472" w:rsidRPr="00205472" w:rsidRDefault="006270AA" w:rsidP="00D82997">
            <w:pPr>
              <w:pStyle w:val="TableParagraph"/>
            </w:pPr>
            <w:r w:rsidRPr="00205472">
              <w:t>Cost</w:t>
            </w:r>
          </w:p>
        </w:tc>
        <w:tc>
          <w:tcPr>
            <w:tcW w:w="921" w:type="dxa"/>
            <w:vAlign w:val="center"/>
          </w:tcPr>
          <w:p w14:paraId="39A22B3E" w14:textId="64B24BF6"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854" w:type="dxa"/>
            <w:vAlign w:val="center"/>
          </w:tcPr>
          <w:p w14:paraId="1D61AF82" w14:textId="37B32830"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1228" w:type="dxa"/>
            <w:vAlign w:val="center"/>
          </w:tcPr>
          <w:p w14:paraId="4796DABA" w14:textId="0CB3CD42"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1075" w:type="dxa"/>
            <w:vAlign w:val="center"/>
          </w:tcPr>
          <w:p w14:paraId="0151FCDF" w14:textId="15A88AFB"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950" w:type="dxa"/>
            <w:vAlign w:val="center"/>
          </w:tcPr>
          <w:p w14:paraId="7C99CF85" w14:textId="6F4253CC"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972" w:type="dxa"/>
            <w:vAlign w:val="center"/>
          </w:tcPr>
          <w:p w14:paraId="4AE6C8C8" w14:textId="245CA528"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957" w:type="dxa"/>
            <w:vAlign w:val="center"/>
          </w:tcPr>
          <w:p w14:paraId="6CF6BA50" w14:textId="433DCD8C"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w:t>
            </w:r>
          </w:p>
        </w:tc>
      </w:tr>
      <w:tr w:rsidR="00205472" w:rsidRPr="00205472" w14:paraId="4D78F3F3" w14:textId="195D2987"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615C8D0A" w14:textId="19E862B9" w:rsidR="00205472" w:rsidRPr="00205472" w:rsidRDefault="00205472" w:rsidP="00D82997">
            <w:pPr>
              <w:pStyle w:val="TableParagraph"/>
              <w:rPr>
                <w:b w:val="0"/>
                <w:bCs w:val="0"/>
              </w:rPr>
            </w:pPr>
            <w:r w:rsidRPr="00205472">
              <w:rPr>
                <w:b w:val="0"/>
                <w:bCs w:val="0"/>
              </w:rPr>
              <w:t>At the start of the year</w:t>
            </w:r>
          </w:p>
        </w:tc>
        <w:tc>
          <w:tcPr>
            <w:tcW w:w="921" w:type="dxa"/>
            <w:vAlign w:val="center"/>
          </w:tcPr>
          <w:p w14:paraId="369B9159" w14:textId="27190B90"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465,007</w:t>
            </w:r>
          </w:p>
        </w:tc>
        <w:tc>
          <w:tcPr>
            <w:tcW w:w="854" w:type="dxa"/>
            <w:vAlign w:val="center"/>
          </w:tcPr>
          <w:p w14:paraId="0923DF93" w14:textId="6F198A22"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15,625</w:t>
            </w:r>
          </w:p>
        </w:tc>
        <w:tc>
          <w:tcPr>
            <w:tcW w:w="1228" w:type="dxa"/>
            <w:vAlign w:val="center"/>
          </w:tcPr>
          <w:p w14:paraId="4044AE85" w14:textId="68D61D43"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32,122</w:t>
            </w:r>
          </w:p>
        </w:tc>
        <w:tc>
          <w:tcPr>
            <w:tcW w:w="1075" w:type="dxa"/>
            <w:vAlign w:val="center"/>
          </w:tcPr>
          <w:p w14:paraId="25E7ECED" w14:textId="7DE887A3"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117,667</w:t>
            </w:r>
          </w:p>
        </w:tc>
        <w:tc>
          <w:tcPr>
            <w:tcW w:w="950" w:type="dxa"/>
            <w:vAlign w:val="center"/>
          </w:tcPr>
          <w:p w14:paraId="6597EACF" w14:textId="5E95BBDC"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23,944</w:t>
            </w:r>
          </w:p>
        </w:tc>
        <w:tc>
          <w:tcPr>
            <w:tcW w:w="972" w:type="dxa"/>
            <w:vAlign w:val="center"/>
          </w:tcPr>
          <w:p w14:paraId="292176D4" w14:textId="1138ACD3"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20,905</w:t>
            </w:r>
          </w:p>
        </w:tc>
        <w:tc>
          <w:tcPr>
            <w:tcW w:w="957" w:type="dxa"/>
            <w:vAlign w:val="center"/>
          </w:tcPr>
          <w:p w14:paraId="260ED611" w14:textId="35033F17"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675,270</w:t>
            </w:r>
          </w:p>
        </w:tc>
      </w:tr>
      <w:tr w:rsidR="00205472" w:rsidRPr="00205472" w14:paraId="19510260" w14:textId="22372298"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34337F6E" w14:textId="026A6E2F" w:rsidR="00205472" w:rsidRPr="00205472" w:rsidRDefault="00205472" w:rsidP="00D82997">
            <w:pPr>
              <w:pStyle w:val="TableParagraph"/>
              <w:rPr>
                <w:b w:val="0"/>
                <w:bCs w:val="0"/>
              </w:rPr>
            </w:pPr>
            <w:r w:rsidRPr="00205472">
              <w:rPr>
                <w:b w:val="0"/>
                <w:bCs w:val="0"/>
              </w:rPr>
              <w:t>Additions in year</w:t>
            </w:r>
          </w:p>
        </w:tc>
        <w:tc>
          <w:tcPr>
            <w:tcW w:w="921" w:type="dxa"/>
            <w:vAlign w:val="center"/>
          </w:tcPr>
          <w:p w14:paraId="36AC63BF" w14:textId="06DD5C12"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854" w:type="dxa"/>
            <w:vAlign w:val="center"/>
          </w:tcPr>
          <w:p w14:paraId="0E7B667D" w14:textId="41D52C3E"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1228" w:type="dxa"/>
            <w:vAlign w:val="center"/>
          </w:tcPr>
          <w:p w14:paraId="2F17838E" w14:textId="792D8DB2"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33,952</w:t>
            </w:r>
          </w:p>
        </w:tc>
        <w:tc>
          <w:tcPr>
            <w:tcW w:w="1075" w:type="dxa"/>
            <w:vAlign w:val="center"/>
          </w:tcPr>
          <w:p w14:paraId="341EB6A1" w14:textId="5CA86ADB"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48,321</w:t>
            </w:r>
          </w:p>
        </w:tc>
        <w:tc>
          <w:tcPr>
            <w:tcW w:w="950" w:type="dxa"/>
            <w:vAlign w:val="center"/>
          </w:tcPr>
          <w:p w14:paraId="025FC8EF" w14:textId="3154BF6A"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5,760</w:t>
            </w:r>
          </w:p>
        </w:tc>
        <w:tc>
          <w:tcPr>
            <w:tcW w:w="972" w:type="dxa"/>
            <w:vAlign w:val="center"/>
          </w:tcPr>
          <w:p w14:paraId="216EC3ED" w14:textId="464AE475"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957" w:type="dxa"/>
            <w:vAlign w:val="center"/>
          </w:tcPr>
          <w:p w14:paraId="3836E195" w14:textId="589816EB"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88,032</w:t>
            </w:r>
          </w:p>
        </w:tc>
      </w:tr>
      <w:tr w:rsidR="00205472" w:rsidRPr="00205472" w14:paraId="3D66BB31" w14:textId="2C78EC18"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53D4E614" w14:textId="6B877F89" w:rsidR="00205472" w:rsidRPr="00205472" w:rsidRDefault="00205472" w:rsidP="00D82997">
            <w:pPr>
              <w:pStyle w:val="TableParagraph"/>
              <w:rPr>
                <w:b w:val="0"/>
                <w:bCs w:val="0"/>
              </w:rPr>
            </w:pPr>
            <w:r w:rsidRPr="00205472">
              <w:rPr>
                <w:b w:val="0"/>
                <w:bCs w:val="0"/>
              </w:rPr>
              <w:t>Disposals in year</w:t>
            </w:r>
          </w:p>
        </w:tc>
        <w:tc>
          <w:tcPr>
            <w:tcW w:w="921" w:type="dxa"/>
            <w:vAlign w:val="center"/>
          </w:tcPr>
          <w:p w14:paraId="298B78DD" w14:textId="7521E053"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854" w:type="dxa"/>
            <w:vAlign w:val="center"/>
          </w:tcPr>
          <w:p w14:paraId="66A889D4" w14:textId="2A0F23F6"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1228" w:type="dxa"/>
            <w:vAlign w:val="center"/>
          </w:tcPr>
          <w:p w14:paraId="6ABC7828" w14:textId="63A1D741"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1075" w:type="dxa"/>
            <w:vAlign w:val="center"/>
          </w:tcPr>
          <w:p w14:paraId="5B5A972F" w14:textId="44182A1A"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(14,481)</w:t>
            </w:r>
          </w:p>
        </w:tc>
        <w:tc>
          <w:tcPr>
            <w:tcW w:w="950" w:type="dxa"/>
            <w:vAlign w:val="center"/>
          </w:tcPr>
          <w:p w14:paraId="7AD8FB65" w14:textId="1B400CD8"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972" w:type="dxa"/>
            <w:vAlign w:val="center"/>
          </w:tcPr>
          <w:p w14:paraId="27C1A370" w14:textId="422B331F"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957" w:type="dxa"/>
            <w:vAlign w:val="center"/>
          </w:tcPr>
          <w:p w14:paraId="36061BD4" w14:textId="5DB40CBC"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(14,481)</w:t>
            </w:r>
          </w:p>
        </w:tc>
      </w:tr>
      <w:tr w:rsidR="00205472" w:rsidRPr="00205472" w14:paraId="09409C5F" w14:textId="236655F4"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29282DD4" w14:textId="77777777" w:rsidR="00205472" w:rsidRPr="00205472" w:rsidRDefault="00205472" w:rsidP="00D82997">
            <w:pPr>
              <w:pStyle w:val="TableParagraph"/>
            </w:pPr>
          </w:p>
        </w:tc>
        <w:tc>
          <w:tcPr>
            <w:tcW w:w="921" w:type="dxa"/>
            <w:tcBorders>
              <w:bottom w:val="single" w:sz="4" w:space="0" w:color="auto"/>
            </w:tcBorders>
            <w:vAlign w:val="center"/>
          </w:tcPr>
          <w:p w14:paraId="0572EE7E" w14:textId="2FA7BC6D"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854" w:type="dxa"/>
            <w:tcBorders>
              <w:bottom w:val="single" w:sz="4" w:space="0" w:color="auto"/>
            </w:tcBorders>
            <w:vAlign w:val="center"/>
          </w:tcPr>
          <w:p w14:paraId="25340E66" w14:textId="21E35B40"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1228" w:type="dxa"/>
            <w:tcBorders>
              <w:bottom w:val="single" w:sz="4" w:space="0" w:color="auto"/>
            </w:tcBorders>
            <w:vAlign w:val="center"/>
          </w:tcPr>
          <w:p w14:paraId="5919227D" w14:textId="52CBC08A"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1075" w:type="dxa"/>
            <w:tcBorders>
              <w:bottom w:val="single" w:sz="4" w:space="0" w:color="auto"/>
            </w:tcBorders>
            <w:vAlign w:val="center"/>
          </w:tcPr>
          <w:p w14:paraId="344D0188" w14:textId="6E13F96A"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50" w:type="dxa"/>
            <w:tcBorders>
              <w:bottom w:val="single" w:sz="4" w:space="0" w:color="auto"/>
            </w:tcBorders>
            <w:vAlign w:val="center"/>
          </w:tcPr>
          <w:p w14:paraId="0A6AA399" w14:textId="03396AF4"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72" w:type="dxa"/>
            <w:tcBorders>
              <w:bottom w:val="single" w:sz="4" w:space="0" w:color="auto"/>
            </w:tcBorders>
            <w:vAlign w:val="center"/>
          </w:tcPr>
          <w:p w14:paraId="20688EB9" w14:textId="0E550534"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57" w:type="dxa"/>
            <w:tcBorders>
              <w:bottom w:val="single" w:sz="4" w:space="0" w:color="auto"/>
            </w:tcBorders>
            <w:vAlign w:val="center"/>
          </w:tcPr>
          <w:p w14:paraId="27FC457D" w14:textId="5F59808E"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 </w:t>
            </w:r>
          </w:p>
        </w:tc>
      </w:tr>
      <w:tr w:rsidR="00205472" w:rsidRPr="00205472" w14:paraId="5A81BE22" w14:textId="2B9ABCC8"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6FA0141A" w14:textId="256DBCC7" w:rsidR="00205472" w:rsidRPr="00205472" w:rsidRDefault="00205472" w:rsidP="00D82997">
            <w:pPr>
              <w:pStyle w:val="TableParagraph"/>
              <w:rPr>
                <w:b w:val="0"/>
                <w:bCs w:val="0"/>
              </w:rPr>
            </w:pPr>
            <w:r w:rsidRPr="00205472">
              <w:rPr>
                <w:b w:val="0"/>
                <w:bCs w:val="0"/>
              </w:rPr>
              <w:t>At the end of the year</w:t>
            </w:r>
          </w:p>
        </w:tc>
        <w:tc>
          <w:tcPr>
            <w:tcW w:w="921" w:type="dxa"/>
            <w:tcBorders>
              <w:top w:val="single" w:sz="4" w:space="0" w:color="auto"/>
              <w:bottom w:val="single" w:sz="4" w:space="0" w:color="auto"/>
            </w:tcBorders>
            <w:vAlign w:val="center"/>
          </w:tcPr>
          <w:p w14:paraId="6B301929" w14:textId="50F46735"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465,007</w:t>
            </w:r>
          </w:p>
        </w:tc>
        <w:tc>
          <w:tcPr>
            <w:tcW w:w="854" w:type="dxa"/>
            <w:tcBorders>
              <w:top w:val="single" w:sz="4" w:space="0" w:color="auto"/>
              <w:bottom w:val="single" w:sz="4" w:space="0" w:color="auto"/>
            </w:tcBorders>
            <w:vAlign w:val="center"/>
          </w:tcPr>
          <w:p w14:paraId="2F423381" w14:textId="2A3079A6"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15,625</w:t>
            </w:r>
          </w:p>
        </w:tc>
        <w:tc>
          <w:tcPr>
            <w:tcW w:w="1228" w:type="dxa"/>
            <w:tcBorders>
              <w:top w:val="single" w:sz="4" w:space="0" w:color="auto"/>
              <w:bottom w:val="single" w:sz="4" w:space="0" w:color="auto"/>
            </w:tcBorders>
            <w:vAlign w:val="center"/>
          </w:tcPr>
          <w:p w14:paraId="19BEAE36" w14:textId="6DA6457F"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66,074</w:t>
            </w:r>
          </w:p>
        </w:tc>
        <w:tc>
          <w:tcPr>
            <w:tcW w:w="1075" w:type="dxa"/>
            <w:tcBorders>
              <w:top w:val="single" w:sz="4" w:space="0" w:color="auto"/>
              <w:bottom w:val="single" w:sz="4" w:space="0" w:color="auto"/>
            </w:tcBorders>
            <w:vAlign w:val="center"/>
          </w:tcPr>
          <w:p w14:paraId="432E18FF" w14:textId="0F544CC6"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151,507</w:t>
            </w:r>
          </w:p>
        </w:tc>
        <w:tc>
          <w:tcPr>
            <w:tcW w:w="950" w:type="dxa"/>
            <w:tcBorders>
              <w:top w:val="single" w:sz="4" w:space="0" w:color="auto"/>
              <w:bottom w:val="single" w:sz="4" w:space="0" w:color="auto"/>
            </w:tcBorders>
            <w:vAlign w:val="center"/>
          </w:tcPr>
          <w:p w14:paraId="3C045FCD" w14:textId="4CC8B3C2"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29,704</w:t>
            </w:r>
          </w:p>
        </w:tc>
        <w:tc>
          <w:tcPr>
            <w:tcW w:w="972" w:type="dxa"/>
            <w:tcBorders>
              <w:top w:val="single" w:sz="4" w:space="0" w:color="auto"/>
              <w:bottom w:val="single" w:sz="4" w:space="0" w:color="auto"/>
            </w:tcBorders>
            <w:vAlign w:val="center"/>
          </w:tcPr>
          <w:p w14:paraId="743E878A" w14:textId="6EB566AB"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20,905</w:t>
            </w:r>
          </w:p>
        </w:tc>
        <w:tc>
          <w:tcPr>
            <w:tcW w:w="957" w:type="dxa"/>
            <w:tcBorders>
              <w:top w:val="single" w:sz="4" w:space="0" w:color="auto"/>
              <w:bottom w:val="single" w:sz="4" w:space="0" w:color="auto"/>
            </w:tcBorders>
            <w:vAlign w:val="center"/>
          </w:tcPr>
          <w:p w14:paraId="6A491D98" w14:textId="07A5B5E2"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748,822</w:t>
            </w:r>
          </w:p>
        </w:tc>
      </w:tr>
      <w:tr w:rsidR="00205472" w:rsidRPr="00205472" w14:paraId="7B9526D7" w14:textId="1201415D"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3E6813D7" w14:textId="77777777" w:rsidR="00205472" w:rsidRPr="00205472" w:rsidRDefault="00205472" w:rsidP="00D82997">
            <w:pPr>
              <w:pStyle w:val="TableParagraph"/>
            </w:pPr>
          </w:p>
        </w:tc>
        <w:tc>
          <w:tcPr>
            <w:tcW w:w="921" w:type="dxa"/>
            <w:vAlign w:val="center"/>
          </w:tcPr>
          <w:p w14:paraId="39CDF1C1" w14:textId="4B282C4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854" w:type="dxa"/>
            <w:vAlign w:val="center"/>
          </w:tcPr>
          <w:p w14:paraId="2CC03A01" w14:textId="20B78F2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1228" w:type="dxa"/>
            <w:vAlign w:val="center"/>
          </w:tcPr>
          <w:p w14:paraId="657DF760" w14:textId="1EC51166"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1075" w:type="dxa"/>
            <w:vAlign w:val="center"/>
          </w:tcPr>
          <w:p w14:paraId="2C8814DD" w14:textId="301205BF"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50" w:type="dxa"/>
            <w:vAlign w:val="center"/>
          </w:tcPr>
          <w:p w14:paraId="2CEDE6F1" w14:textId="4AA4FE42"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72" w:type="dxa"/>
            <w:vAlign w:val="center"/>
          </w:tcPr>
          <w:p w14:paraId="1F069D51" w14:textId="4030929A"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57" w:type="dxa"/>
            <w:vAlign w:val="center"/>
          </w:tcPr>
          <w:p w14:paraId="55354AE6" w14:textId="7B3F60F6"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 </w:t>
            </w:r>
          </w:p>
        </w:tc>
      </w:tr>
      <w:tr w:rsidR="006270AA" w:rsidRPr="00205472" w14:paraId="06B65154" w14:textId="09F951C8"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708F9D7D" w14:textId="77A4FDD3" w:rsidR="00205472" w:rsidRPr="00205472" w:rsidRDefault="00205472" w:rsidP="00D82997">
            <w:pPr>
              <w:pStyle w:val="TableParagraph"/>
            </w:pPr>
            <w:r w:rsidRPr="00205472">
              <w:t>Depreciation</w:t>
            </w:r>
          </w:p>
        </w:tc>
        <w:tc>
          <w:tcPr>
            <w:tcW w:w="921" w:type="dxa"/>
            <w:vAlign w:val="center"/>
          </w:tcPr>
          <w:p w14:paraId="5099B507"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854" w:type="dxa"/>
            <w:vAlign w:val="center"/>
          </w:tcPr>
          <w:p w14:paraId="33C2A7AF"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228" w:type="dxa"/>
            <w:vAlign w:val="center"/>
          </w:tcPr>
          <w:p w14:paraId="4DA7ABC1"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075" w:type="dxa"/>
            <w:vAlign w:val="center"/>
          </w:tcPr>
          <w:p w14:paraId="3474FA62"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50" w:type="dxa"/>
            <w:vAlign w:val="center"/>
          </w:tcPr>
          <w:p w14:paraId="464C35B4"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72" w:type="dxa"/>
            <w:vAlign w:val="center"/>
          </w:tcPr>
          <w:p w14:paraId="149725D3"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57" w:type="dxa"/>
            <w:vAlign w:val="center"/>
          </w:tcPr>
          <w:p w14:paraId="3CC310BE" w14:textId="77777777"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p>
        </w:tc>
      </w:tr>
      <w:tr w:rsidR="006270AA" w:rsidRPr="00205472" w14:paraId="3C08D39C" w14:textId="22660D83"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0624ABB0" w14:textId="1CA9289E" w:rsidR="00205472" w:rsidRPr="00205472" w:rsidRDefault="00205472" w:rsidP="00D82997">
            <w:pPr>
              <w:pStyle w:val="TableParagraph"/>
              <w:rPr>
                <w:b w:val="0"/>
                <w:bCs w:val="0"/>
              </w:rPr>
            </w:pPr>
            <w:r w:rsidRPr="00205472">
              <w:rPr>
                <w:b w:val="0"/>
                <w:bCs w:val="0"/>
              </w:rPr>
              <w:t>At the start of the year</w:t>
            </w:r>
          </w:p>
        </w:tc>
        <w:tc>
          <w:tcPr>
            <w:tcW w:w="921" w:type="dxa"/>
            <w:vAlign w:val="center"/>
          </w:tcPr>
          <w:p w14:paraId="47DB2646" w14:textId="5F377955"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(190,748)</w:t>
            </w:r>
          </w:p>
        </w:tc>
        <w:tc>
          <w:tcPr>
            <w:tcW w:w="854" w:type="dxa"/>
            <w:vAlign w:val="center"/>
          </w:tcPr>
          <w:p w14:paraId="3D583322" w14:textId="3CFB8756"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(15,625)</w:t>
            </w:r>
          </w:p>
        </w:tc>
        <w:tc>
          <w:tcPr>
            <w:tcW w:w="1228" w:type="dxa"/>
            <w:vAlign w:val="center"/>
          </w:tcPr>
          <w:p w14:paraId="7BAE61CF" w14:textId="09393E10"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(19,258)</w:t>
            </w:r>
          </w:p>
        </w:tc>
        <w:tc>
          <w:tcPr>
            <w:tcW w:w="1075" w:type="dxa"/>
            <w:vAlign w:val="center"/>
          </w:tcPr>
          <w:p w14:paraId="6BEB46D2" w14:textId="3E73449B"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(103,897)</w:t>
            </w:r>
          </w:p>
        </w:tc>
        <w:tc>
          <w:tcPr>
            <w:tcW w:w="950" w:type="dxa"/>
            <w:vAlign w:val="center"/>
          </w:tcPr>
          <w:p w14:paraId="64BB8BBD" w14:textId="36BB0038"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(22,480)</w:t>
            </w:r>
          </w:p>
        </w:tc>
        <w:tc>
          <w:tcPr>
            <w:tcW w:w="972" w:type="dxa"/>
            <w:vAlign w:val="center"/>
          </w:tcPr>
          <w:p w14:paraId="6CCFDE14" w14:textId="2274E7C0"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(20,905)</w:t>
            </w:r>
          </w:p>
        </w:tc>
        <w:tc>
          <w:tcPr>
            <w:tcW w:w="957" w:type="dxa"/>
            <w:vAlign w:val="center"/>
          </w:tcPr>
          <w:p w14:paraId="40210ED1" w14:textId="4977B09B"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(372,914)</w:t>
            </w:r>
          </w:p>
        </w:tc>
      </w:tr>
      <w:tr w:rsidR="006270AA" w:rsidRPr="00205472" w14:paraId="79AD706C" w14:textId="4F42328E"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39AAE21C" w14:textId="1B8A2DB1" w:rsidR="00205472" w:rsidRPr="00205472" w:rsidRDefault="00205472" w:rsidP="00D82997">
            <w:pPr>
              <w:pStyle w:val="TableParagraph"/>
              <w:rPr>
                <w:b w:val="0"/>
                <w:bCs w:val="0"/>
              </w:rPr>
            </w:pPr>
            <w:r w:rsidRPr="00205472">
              <w:rPr>
                <w:b w:val="0"/>
                <w:bCs w:val="0"/>
              </w:rPr>
              <w:t>Depreciation charge for year</w:t>
            </w:r>
          </w:p>
        </w:tc>
        <w:tc>
          <w:tcPr>
            <w:tcW w:w="921" w:type="dxa"/>
            <w:vAlign w:val="center"/>
          </w:tcPr>
          <w:p w14:paraId="6BB12F3A" w14:textId="6E368E0A"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(11,444)</w:t>
            </w:r>
          </w:p>
        </w:tc>
        <w:tc>
          <w:tcPr>
            <w:tcW w:w="854" w:type="dxa"/>
            <w:vAlign w:val="center"/>
          </w:tcPr>
          <w:p w14:paraId="076DA2DC" w14:textId="1883C29D"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1228" w:type="dxa"/>
            <w:vAlign w:val="center"/>
          </w:tcPr>
          <w:p w14:paraId="140D7CDC" w14:textId="740EB4A4"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(7,635)</w:t>
            </w:r>
          </w:p>
        </w:tc>
        <w:tc>
          <w:tcPr>
            <w:tcW w:w="1075" w:type="dxa"/>
            <w:vAlign w:val="center"/>
          </w:tcPr>
          <w:p w14:paraId="647BBA78" w14:textId="671BCE71"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(8,785)</w:t>
            </w:r>
          </w:p>
        </w:tc>
        <w:tc>
          <w:tcPr>
            <w:tcW w:w="950" w:type="dxa"/>
            <w:vAlign w:val="center"/>
          </w:tcPr>
          <w:p w14:paraId="590E8D11" w14:textId="3F0440CE"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(2,484)</w:t>
            </w:r>
          </w:p>
        </w:tc>
        <w:tc>
          <w:tcPr>
            <w:tcW w:w="972" w:type="dxa"/>
            <w:vAlign w:val="center"/>
          </w:tcPr>
          <w:p w14:paraId="53911034" w14:textId="79EB875D"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957" w:type="dxa"/>
            <w:vAlign w:val="center"/>
          </w:tcPr>
          <w:p w14:paraId="399A4821" w14:textId="0FBF123D"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(30,347)</w:t>
            </w:r>
          </w:p>
        </w:tc>
      </w:tr>
      <w:tr w:rsidR="006270AA" w:rsidRPr="00205472" w14:paraId="3DFFE724" w14:textId="6ECDEBF5"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0DBECF7B" w14:textId="040EE602" w:rsidR="00205472" w:rsidRPr="00205472" w:rsidRDefault="00205472" w:rsidP="00D82997">
            <w:pPr>
              <w:pStyle w:val="TableParagraph"/>
              <w:rPr>
                <w:b w:val="0"/>
                <w:bCs w:val="0"/>
              </w:rPr>
            </w:pPr>
            <w:r w:rsidRPr="00205472">
              <w:rPr>
                <w:b w:val="0"/>
                <w:bCs w:val="0"/>
              </w:rPr>
              <w:t>Eliminated on disposal</w:t>
            </w:r>
          </w:p>
        </w:tc>
        <w:tc>
          <w:tcPr>
            <w:tcW w:w="921" w:type="dxa"/>
            <w:vAlign w:val="center"/>
          </w:tcPr>
          <w:p w14:paraId="6C2A590E" w14:textId="3DF3FF82"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854" w:type="dxa"/>
            <w:vAlign w:val="center"/>
          </w:tcPr>
          <w:p w14:paraId="2FA750D8" w14:textId="11CDC8BF"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1228" w:type="dxa"/>
            <w:vAlign w:val="center"/>
          </w:tcPr>
          <w:p w14:paraId="40D53188" w14:textId="7334E6B2"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1075" w:type="dxa"/>
            <w:vAlign w:val="center"/>
          </w:tcPr>
          <w:p w14:paraId="4DD9F7B0" w14:textId="30CBA09D"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12,726</w:t>
            </w:r>
          </w:p>
        </w:tc>
        <w:tc>
          <w:tcPr>
            <w:tcW w:w="950" w:type="dxa"/>
            <w:vAlign w:val="center"/>
          </w:tcPr>
          <w:p w14:paraId="1604717E" w14:textId="2136FE39"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972" w:type="dxa"/>
            <w:vAlign w:val="center"/>
          </w:tcPr>
          <w:p w14:paraId="2BCC4C88" w14:textId="5BB4FA16"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957" w:type="dxa"/>
            <w:vAlign w:val="center"/>
          </w:tcPr>
          <w:p w14:paraId="6CE20B44" w14:textId="302B5F2A"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12,726</w:t>
            </w:r>
          </w:p>
        </w:tc>
      </w:tr>
      <w:tr w:rsidR="006270AA" w:rsidRPr="00205472" w14:paraId="72C8D9C6" w14:textId="36D713E2"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6F560391" w14:textId="77777777" w:rsidR="00205472" w:rsidRPr="00205472" w:rsidRDefault="00205472" w:rsidP="00D82997">
            <w:pPr>
              <w:pStyle w:val="TableParagraph"/>
              <w:rPr>
                <w:b w:val="0"/>
                <w:bCs w:val="0"/>
              </w:rPr>
            </w:pPr>
          </w:p>
        </w:tc>
        <w:tc>
          <w:tcPr>
            <w:tcW w:w="921" w:type="dxa"/>
            <w:tcBorders>
              <w:bottom w:val="single" w:sz="4" w:space="0" w:color="auto"/>
            </w:tcBorders>
            <w:vAlign w:val="center"/>
          </w:tcPr>
          <w:p w14:paraId="51D3BAB9" w14:textId="549DEB0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854" w:type="dxa"/>
            <w:tcBorders>
              <w:bottom w:val="single" w:sz="4" w:space="0" w:color="auto"/>
            </w:tcBorders>
            <w:vAlign w:val="center"/>
          </w:tcPr>
          <w:p w14:paraId="42AF3E86" w14:textId="1E9AF459"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1228" w:type="dxa"/>
            <w:tcBorders>
              <w:bottom w:val="single" w:sz="4" w:space="0" w:color="auto"/>
            </w:tcBorders>
            <w:vAlign w:val="center"/>
          </w:tcPr>
          <w:p w14:paraId="57FE630F" w14:textId="4F8322E4"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1075" w:type="dxa"/>
            <w:tcBorders>
              <w:bottom w:val="single" w:sz="4" w:space="0" w:color="auto"/>
            </w:tcBorders>
            <w:vAlign w:val="center"/>
          </w:tcPr>
          <w:p w14:paraId="552B221F" w14:textId="0EDD7F8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950" w:type="dxa"/>
            <w:tcBorders>
              <w:bottom w:val="single" w:sz="4" w:space="0" w:color="auto"/>
            </w:tcBorders>
            <w:vAlign w:val="center"/>
          </w:tcPr>
          <w:p w14:paraId="04555169" w14:textId="55C38CF3"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972" w:type="dxa"/>
            <w:tcBorders>
              <w:bottom w:val="single" w:sz="4" w:space="0" w:color="auto"/>
            </w:tcBorders>
            <w:vAlign w:val="center"/>
          </w:tcPr>
          <w:p w14:paraId="4FCD64CD" w14:textId="48EB0F35"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957" w:type="dxa"/>
            <w:tcBorders>
              <w:bottom w:val="single" w:sz="4" w:space="0" w:color="auto"/>
            </w:tcBorders>
            <w:vAlign w:val="center"/>
          </w:tcPr>
          <w:p w14:paraId="74229965" w14:textId="0AEEA028"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 </w:t>
            </w:r>
          </w:p>
        </w:tc>
      </w:tr>
      <w:tr w:rsidR="00FE2FE6" w:rsidRPr="00205472" w14:paraId="128FC4F9" w14:textId="7F9A6F60"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625C59C0" w14:textId="25206025" w:rsidR="00205472" w:rsidRPr="00205472" w:rsidRDefault="00205472" w:rsidP="00D82997">
            <w:pPr>
              <w:pStyle w:val="TableParagraph"/>
              <w:rPr>
                <w:b w:val="0"/>
                <w:bCs w:val="0"/>
              </w:rPr>
            </w:pPr>
            <w:r w:rsidRPr="00205472">
              <w:rPr>
                <w:b w:val="0"/>
                <w:bCs w:val="0"/>
              </w:rPr>
              <w:t>At the end of the year</w:t>
            </w:r>
          </w:p>
        </w:tc>
        <w:tc>
          <w:tcPr>
            <w:tcW w:w="921" w:type="dxa"/>
            <w:tcBorders>
              <w:top w:val="single" w:sz="4" w:space="0" w:color="auto"/>
              <w:bottom w:val="single" w:sz="4" w:space="0" w:color="auto"/>
            </w:tcBorders>
            <w:vAlign w:val="center"/>
          </w:tcPr>
          <w:p w14:paraId="0BEC1244" w14:textId="494E4C5A"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(202,192)</w:t>
            </w:r>
          </w:p>
        </w:tc>
        <w:tc>
          <w:tcPr>
            <w:tcW w:w="854" w:type="dxa"/>
            <w:tcBorders>
              <w:top w:val="single" w:sz="4" w:space="0" w:color="auto"/>
              <w:bottom w:val="single" w:sz="4" w:space="0" w:color="auto"/>
            </w:tcBorders>
            <w:vAlign w:val="center"/>
          </w:tcPr>
          <w:p w14:paraId="7A856350" w14:textId="399CAD36"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(15,625)</w:t>
            </w:r>
          </w:p>
        </w:tc>
        <w:tc>
          <w:tcPr>
            <w:tcW w:w="1228" w:type="dxa"/>
            <w:tcBorders>
              <w:top w:val="single" w:sz="4" w:space="0" w:color="auto"/>
              <w:bottom w:val="single" w:sz="4" w:space="0" w:color="auto"/>
            </w:tcBorders>
            <w:vAlign w:val="center"/>
          </w:tcPr>
          <w:p w14:paraId="6A3FDF22" w14:textId="74DE51C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(26,893)</w:t>
            </w:r>
          </w:p>
        </w:tc>
        <w:tc>
          <w:tcPr>
            <w:tcW w:w="1075" w:type="dxa"/>
            <w:tcBorders>
              <w:top w:val="single" w:sz="4" w:space="0" w:color="auto"/>
              <w:bottom w:val="single" w:sz="4" w:space="0" w:color="auto"/>
            </w:tcBorders>
            <w:vAlign w:val="center"/>
          </w:tcPr>
          <w:p w14:paraId="2F600AEC" w14:textId="6272255F"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(99,956)</w:t>
            </w:r>
          </w:p>
        </w:tc>
        <w:tc>
          <w:tcPr>
            <w:tcW w:w="950" w:type="dxa"/>
            <w:tcBorders>
              <w:top w:val="single" w:sz="4" w:space="0" w:color="auto"/>
              <w:bottom w:val="single" w:sz="4" w:space="0" w:color="auto"/>
            </w:tcBorders>
            <w:vAlign w:val="center"/>
          </w:tcPr>
          <w:p w14:paraId="2735E4CF" w14:textId="4A03219D"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(24,964)</w:t>
            </w:r>
          </w:p>
        </w:tc>
        <w:tc>
          <w:tcPr>
            <w:tcW w:w="972" w:type="dxa"/>
            <w:tcBorders>
              <w:top w:val="single" w:sz="4" w:space="0" w:color="auto"/>
              <w:bottom w:val="single" w:sz="4" w:space="0" w:color="auto"/>
            </w:tcBorders>
            <w:vAlign w:val="center"/>
          </w:tcPr>
          <w:p w14:paraId="10C8DB92" w14:textId="7CB34FB3"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(20,905)</w:t>
            </w:r>
          </w:p>
        </w:tc>
        <w:tc>
          <w:tcPr>
            <w:tcW w:w="957" w:type="dxa"/>
            <w:tcBorders>
              <w:top w:val="single" w:sz="4" w:space="0" w:color="auto"/>
              <w:bottom w:val="single" w:sz="4" w:space="0" w:color="auto"/>
            </w:tcBorders>
            <w:vAlign w:val="center"/>
          </w:tcPr>
          <w:p w14:paraId="62AFA717" w14:textId="7F82E675"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(390,535)</w:t>
            </w:r>
          </w:p>
        </w:tc>
      </w:tr>
      <w:tr w:rsidR="00FE2FE6" w:rsidRPr="00205472" w14:paraId="65DAAA5B" w14:textId="07AA08E2"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3673859B" w14:textId="77777777" w:rsidR="00205472" w:rsidRPr="00205472" w:rsidRDefault="00205472" w:rsidP="00D82997">
            <w:pPr>
              <w:pStyle w:val="TableParagraph"/>
              <w:rPr>
                <w:b w:val="0"/>
                <w:bCs w:val="0"/>
              </w:rPr>
            </w:pPr>
          </w:p>
        </w:tc>
        <w:tc>
          <w:tcPr>
            <w:tcW w:w="921" w:type="dxa"/>
            <w:tcBorders>
              <w:top w:val="single" w:sz="4" w:space="0" w:color="auto"/>
            </w:tcBorders>
            <w:vAlign w:val="center"/>
          </w:tcPr>
          <w:p w14:paraId="08D95EC8" w14:textId="5BD3E63F"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854" w:type="dxa"/>
            <w:tcBorders>
              <w:top w:val="single" w:sz="4" w:space="0" w:color="auto"/>
            </w:tcBorders>
            <w:vAlign w:val="center"/>
          </w:tcPr>
          <w:p w14:paraId="1615DF79" w14:textId="4AADB0E8"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1228" w:type="dxa"/>
            <w:tcBorders>
              <w:top w:val="single" w:sz="4" w:space="0" w:color="auto"/>
            </w:tcBorders>
            <w:vAlign w:val="center"/>
          </w:tcPr>
          <w:p w14:paraId="602ADD00" w14:textId="0FF42E0A"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1075" w:type="dxa"/>
            <w:tcBorders>
              <w:top w:val="single" w:sz="4" w:space="0" w:color="auto"/>
            </w:tcBorders>
            <w:vAlign w:val="center"/>
          </w:tcPr>
          <w:p w14:paraId="676D441B" w14:textId="5010AAB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950" w:type="dxa"/>
            <w:tcBorders>
              <w:top w:val="single" w:sz="4" w:space="0" w:color="auto"/>
            </w:tcBorders>
            <w:vAlign w:val="center"/>
          </w:tcPr>
          <w:p w14:paraId="2B23FF29" w14:textId="752D6DFB"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972" w:type="dxa"/>
            <w:tcBorders>
              <w:top w:val="single" w:sz="4" w:space="0" w:color="auto"/>
            </w:tcBorders>
            <w:vAlign w:val="center"/>
          </w:tcPr>
          <w:p w14:paraId="77A072E0" w14:textId="06057201"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 </w:t>
            </w:r>
          </w:p>
        </w:tc>
        <w:tc>
          <w:tcPr>
            <w:tcW w:w="957" w:type="dxa"/>
            <w:tcBorders>
              <w:top w:val="single" w:sz="4" w:space="0" w:color="auto"/>
            </w:tcBorders>
            <w:vAlign w:val="center"/>
          </w:tcPr>
          <w:p w14:paraId="21236C51" w14:textId="5BD02517"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 </w:t>
            </w:r>
          </w:p>
        </w:tc>
      </w:tr>
      <w:tr w:rsidR="00FE2FE6" w:rsidRPr="00205472" w14:paraId="0D544BE7" w14:textId="66FF2B53"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10C64A24" w14:textId="54D9BD53" w:rsidR="00205472" w:rsidRPr="00205472" w:rsidRDefault="00205472" w:rsidP="00D82997">
            <w:pPr>
              <w:pStyle w:val="TableParagraph"/>
            </w:pPr>
            <w:r w:rsidRPr="00205472">
              <w:t>Net book value</w:t>
            </w:r>
          </w:p>
        </w:tc>
        <w:tc>
          <w:tcPr>
            <w:tcW w:w="921" w:type="dxa"/>
            <w:vAlign w:val="center"/>
          </w:tcPr>
          <w:p w14:paraId="2216FBD4" w14:textId="7777777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854" w:type="dxa"/>
            <w:vAlign w:val="center"/>
          </w:tcPr>
          <w:p w14:paraId="66C7C90F" w14:textId="7777777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1228" w:type="dxa"/>
            <w:vAlign w:val="center"/>
          </w:tcPr>
          <w:p w14:paraId="19792483" w14:textId="7777777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1075" w:type="dxa"/>
            <w:vAlign w:val="center"/>
          </w:tcPr>
          <w:p w14:paraId="577A63D2" w14:textId="7777777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50" w:type="dxa"/>
            <w:vAlign w:val="center"/>
          </w:tcPr>
          <w:p w14:paraId="7474F00C" w14:textId="7777777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72" w:type="dxa"/>
            <w:vAlign w:val="center"/>
          </w:tcPr>
          <w:p w14:paraId="55551BE3" w14:textId="7777777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57" w:type="dxa"/>
            <w:vAlign w:val="center"/>
          </w:tcPr>
          <w:p w14:paraId="662E0F6D" w14:textId="77777777"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p>
        </w:tc>
      </w:tr>
      <w:tr w:rsidR="00FE2FE6" w:rsidRPr="00205472" w14:paraId="0F366298" w14:textId="1012C79B"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75F0A3DF" w14:textId="184659F9" w:rsidR="00205472" w:rsidRPr="00205472" w:rsidRDefault="00205472" w:rsidP="00D82997">
            <w:pPr>
              <w:pStyle w:val="TableParagraph"/>
            </w:pPr>
            <w:r w:rsidRPr="00205472">
              <w:t>At the end of the year</w:t>
            </w:r>
          </w:p>
        </w:tc>
        <w:tc>
          <w:tcPr>
            <w:tcW w:w="921" w:type="dxa"/>
            <w:tcBorders>
              <w:bottom w:val="double" w:sz="4" w:space="0" w:color="auto"/>
            </w:tcBorders>
            <w:vAlign w:val="center"/>
          </w:tcPr>
          <w:p w14:paraId="2BCBA2BD" w14:textId="6B34D8A6"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262,815</w:t>
            </w:r>
          </w:p>
        </w:tc>
        <w:tc>
          <w:tcPr>
            <w:tcW w:w="854" w:type="dxa"/>
            <w:tcBorders>
              <w:bottom w:val="double" w:sz="4" w:space="0" w:color="auto"/>
            </w:tcBorders>
            <w:vAlign w:val="center"/>
          </w:tcPr>
          <w:p w14:paraId="3E2F08E6" w14:textId="04688848"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1228" w:type="dxa"/>
            <w:tcBorders>
              <w:bottom w:val="double" w:sz="4" w:space="0" w:color="auto"/>
            </w:tcBorders>
            <w:vAlign w:val="center"/>
          </w:tcPr>
          <w:p w14:paraId="2D752A09" w14:textId="2596FB18"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39,181</w:t>
            </w:r>
          </w:p>
        </w:tc>
        <w:tc>
          <w:tcPr>
            <w:tcW w:w="1075" w:type="dxa"/>
            <w:tcBorders>
              <w:bottom w:val="double" w:sz="4" w:space="0" w:color="auto"/>
            </w:tcBorders>
            <w:vAlign w:val="center"/>
          </w:tcPr>
          <w:p w14:paraId="02DA63E1" w14:textId="2A721C54"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51,551</w:t>
            </w:r>
          </w:p>
        </w:tc>
        <w:tc>
          <w:tcPr>
            <w:tcW w:w="950" w:type="dxa"/>
            <w:tcBorders>
              <w:bottom w:val="double" w:sz="4" w:space="0" w:color="auto"/>
            </w:tcBorders>
            <w:vAlign w:val="center"/>
          </w:tcPr>
          <w:p w14:paraId="73E8335E" w14:textId="6AE1303D"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4,740</w:t>
            </w:r>
          </w:p>
        </w:tc>
        <w:tc>
          <w:tcPr>
            <w:tcW w:w="972" w:type="dxa"/>
            <w:tcBorders>
              <w:bottom w:val="double" w:sz="4" w:space="0" w:color="auto"/>
            </w:tcBorders>
            <w:vAlign w:val="center"/>
          </w:tcPr>
          <w:p w14:paraId="6DDC4C94" w14:textId="19F33A1A"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r w:rsidRPr="00205472">
              <w:t>-</w:t>
            </w:r>
          </w:p>
        </w:tc>
        <w:tc>
          <w:tcPr>
            <w:tcW w:w="957" w:type="dxa"/>
            <w:tcBorders>
              <w:bottom w:val="double" w:sz="4" w:space="0" w:color="auto"/>
            </w:tcBorders>
            <w:vAlign w:val="center"/>
          </w:tcPr>
          <w:p w14:paraId="3B803437" w14:textId="5B2BD6AB"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b/>
                <w:bCs/>
              </w:rPr>
              <w:t>358,286</w:t>
            </w:r>
          </w:p>
        </w:tc>
      </w:tr>
      <w:tr w:rsidR="00FE2FE6" w:rsidRPr="00205472" w14:paraId="0CCC56AD" w14:textId="405FF095"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34710902" w14:textId="77777777" w:rsidR="00205472" w:rsidRPr="00205472" w:rsidRDefault="00205472" w:rsidP="00D82997">
            <w:pPr>
              <w:pStyle w:val="TableParagraph"/>
              <w:rPr>
                <w:b w:val="0"/>
                <w:bCs w:val="0"/>
              </w:rPr>
            </w:pPr>
          </w:p>
        </w:tc>
        <w:tc>
          <w:tcPr>
            <w:tcW w:w="921" w:type="dxa"/>
            <w:vAlign w:val="center"/>
          </w:tcPr>
          <w:p w14:paraId="6F736D83" w14:textId="6568495F"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854" w:type="dxa"/>
            <w:vAlign w:val="center"/>
          </w:tcPr>
          <w:p w14:paraId="3A3D27FC" w14:textId="3940D706"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1228" w:type="dxa"/>
            <w:vAlign w:val="center"/>
          </w:tcPr>
          <w:p w14:paraId="5733CFE1" w14:textId="2C2B89CF"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1075" w:type="dxa"/>
            <w:vAlign w:val="center"/>
          </w:tcPr>
          <w:p w14:paraId="79BAC2B3" w14:textId="76B580EE"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50" w:type="dxa"/>
            <w:vAlign w:val="center"/>
          </w:tcPr>
          <w:p w14:paraId="74EFFA3B" w14:textId="5C049051"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72" w:type="dxa"/>
            <w:vAlign w:val="center"/>
          </w:tcPr>
          <w:p w14:paraId="466B06EB" w14:textId="2308B197"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 </w:t>
            </w:r>
          </w:p>
        </w:tc>
        <w:tc>
          <w:tcPr>
            <w:tcW w:w="957" w:type="dxa"/>
            <w:vAlign w:val="center"/>
          </w:tcPr>
          <w:p w14:paraId="3B9D4C5C" w14:textId="3BD74CDE"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 </w:t>
            </w:r>
          </w:p>
        </w:tc>
      </w:tr>
      <w:tr w:rsidR="00FE2FE6" w:rsidRPr="00205472" w14:paraId="6ACA595F" w14:textId="1C874329"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1625D1E3" w14:textId="77777777" w:rsidR="00205472" w:rsidRPr="00205472" w:rsidRDefault="00205472" w:rsidP="00D82997">
            <w:pPr>
              <w:pStyle w:val="TableParagraph"/>
              <w:rPr>
                <w:b w:val="0"/>
                <w:bCs w:val="0"/>
              </w:rPr>
            </w:pPr>
          </w:p>
        </w:tc>
        <w:tc>
          <w:tcPr>
            <w:tcW w:w="921" w:type="dxa"/>
            <w:tcBorders>
              <w:bottom w:val="double" w:sz="4" w:space="0" w:color="auto"/>
            </w:tcBorders>
            <w:vAlign w:val="center"/>
          </w:tcPr>
          <w:p w14:paraId="43F1BD4B"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854" w:type="dxa"/>
            <w:tcBorders>
              <w:bottom w:val="double" w:sz="4" w:space="0" w:color="auto"/>
            </w:tcBorders>
            <w:vAlign w:val="center"/>
          </w:tcPr>
          <w:p w14:paraId="2BF7B931"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228" w:type="dxa"/>
            <w:tcBorders>
              <w:bottom w:val="double" w:sz="4" w:space="0" w:color="auto"/>
            </w:tcBorders>
            <w:vAlign w:val="center"/>
          </w:tcPr>
          <w:p w14:paraId="59886990"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075" w:type="dxa"/>
            <w:tcBorders>
              <w:bottom w:val="double" w:sz="4" w:space="0" w:color="auto"/>
            </w:tcBorders>
            <w:vAlign w:val="center"/>
          </w:tcPr>
          <w:p w14:paraId="61468E34"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50" w:type="dxa"/>
            <w:tcBorders>
              <w:bottom w:val="double" w:sz="4" w:space="0" w:color="auto"/>
            </w:tcBorders>
            <w:vAlign w:val="center"/>
          </w:tcPr>
          <w:p w14:paraId="2FB9DE08"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72" w:type="dxa"/>
            <w:tcBorders>
              <w:bottom w:val="double" w:sz="4" w:space="0" w:color="auto"/>
            </w:tcBorders>
            <w:vAlign w:val="center"/>
          </w:tcPr>
          <w:p w14:paraId="63AC81A0" w14:textId="77777777" w:rsidR="00205472" w:rsidRPr="00205472"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57" w:type="dxa"/>
            <w:tcBorders>
              <w:bottom w:val="double" w:sz="4" w:space="0" w:color="auto"/>
            </w:tcBorders>
            <w:vAlign w:val="center"/>
          </w:tcPr>
          <w:p w14:paraId="0C28384A" w14:textId="77777777" w:rsidR="00205472" w:rsidRPr="00D82997" w:rsidRDefault="00205472"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p>
        </w:tc>
      </w:tr>
      <w:tr w:rsidR="00FE2FE6" w:rsidRPr="00205472" w14:paraId="1E85DB54" w14:textId="7E0431CA"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6FD394B5" w14:textId="4F11F6BF" w:rsidR="00205472" w:rsidRPr="00205472" w:rsidRDefault="00205472" w:rsidP="00D82997">
            <w:pPr>
              <w:pStyle w:val="TableParagraph"/>
              <w:rPr>
                <w:b w:val="0"/>
                <w:bCs w:val="0"/>
              </w:rPr>
            </w:pPr>
            <w:r w:rsidRPr="00205472">
              <w:rPr>
                <w:b w:val="0"/>
                <w:bCs w:val="0"/>
              </w:rPr>
              <w:t>At the start of the year</w:t>
            </w:r>
          </w:p>
        </w:tc>
        <w:tc>
          <w:tcPr>
            <w:tcW w:w="921" w:type="dxa"/>
            <w:tcBorders>
              <w:bottom w:val="double" w:sz="4" w:space="0" w:color="auto"/>
            </w:tcBorders>
            <w:vAlign w:val="center"/>
          </w:tcPr>
          <w:p w14:paraId="22FCE60E" w14:textId="6CD39F18"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274,259</w:t>
            </w:r>
          </w:p>
        </w:tc>
        <w:tc>
          <w:tcPr>
            <w:tcW w:w="854" w:type="dxa"/>
            <w:tcBorders>
              <w:bottom w:val="double" w:sz="4" w:space="0" w:color="auto"/>
            </w:tcBorders>
            <w:vAlign w:val="center"/>
          </w:tcPr>
          <w:p w14:paraId="5B127C21" w14:textId="0785C2BF"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1228" w:type="dxa"/>
            <w:tcBorders>
              <w:bottom w:val="double" w:sz="4" w:space="0" w:color="auto"/>
            </w:tcBorders>
            <w:vAlign w:val="center"/>
          </w:tcPr>
          <w:p w14:paraId="6F30DE0B" w14:textId="1D52859F"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12,864</w:t>
            </w:r>
          </w:p>
        </w:tc>
        <w:tc>
          <w:tcPr>
            <w:tcW w:w="1075" w:type="dxa"/>
            <w:tcBorders>
              <w:bottom w:val="double" w:sz="4" w:space="0" w:color="auto"/>
            </w:tcBorders>
            <w:vAlign w:val="center"/>
          </w:tcPr>
          <w:p w14:paraId="40C346F4" w14:textId="2C201011"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13,769</w:t>
            </w:r>
          </w:p>
        </w:tc>
        <w:tc>
          <w:tcPr>
            <w:tcW w:w="950" w:type="dxa"/>
            <w:tcBorders>
              <w:bottom w:val="double" w:sz="4" w:space="0" w:color="auto"/>
            </w:tcBorders>
            <w:vAlign w:val="center"/>
          </w:tcPr>
          <w:p w14:paraId="588DBECF" w14:textId="36214C84"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1,464</w:t>
            </w:r>
          </w:p>
        </w:tc>
        <w:tc>
          <w:tcPr>
            <w:tcW w:w="972" w:type="dxa"/>
            <w:tcBorders>
              <w:bottom w:val="double" w:sz="4" w:space="0" w:color="auto"/>
            </w:tcBorders>
            <w:vAlign w:val="center"/>
          </w:tcPr>
          <w:p w14:paraId="4FABF633" w14:textId="1F91C5E6" w:rsidR="00205472" w:rsidRPr="00205472"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pPr>
            <w:r w:rsidRPr="00205472">
              <w:t>-</w:t>
            </w:r>
          </w:p>
        </w:tc>
        <w:tc>
          <w:tcPr>
            <w:tcW w:w="957" w:type="dxa"/>
            <w:tcBorders>
              <w:bottom w:val="double" w:sz="4" w:space="0" w:color="auto"/>
            </w:tcBorders>
            <w:vAlign w:val="center"/>
          </w:tcPr>
          <w:p w14:paraId="01F71A75" w14:textId="4DACA5F5" w:rsidR="00205472" w:rsidRPr="00D82997" w:rsidRDefault="00205472" w:rsidP="00D82997">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D82997">
              <w:rPr>
                <w:b/>
                <w:bCs/>
              </w:rPr>
              <w:t>302,356</w:t>
            </w:r>
          </w:p>
        </w:tc>
      </w:tr>
      <w:tr w:rsidR="006270AA" w:rsidRPr="00205472" w14:paraId="27C4A221" w14:textId="7FBEA895" w:rsidTr="00D82997">
        <w:trPr>
          <w:trHeight w:val="433"/>
        </w:trPr>
        <w:tc>
          <w:tcPr>
            <w:cnfStyle w:val="001000000000" w:firstRow="0" w:lastRow="0" w:firstColumn="1" w:lastColumn="0" w:oddVBand="0" w:evenVBand="0" w:oddHBand="0" w:evenHBand="0" w:firstRowFirstColumn="0" w:firstRowLastColumn="0" w:lastRowFirstColumn="0" w:lastRowLastColumn="0"/>
            <w:tcW w:w="9015" w:type="dxa"/>
            <w:gridSpan w:val="8"/>
            <w:vAlign w:val="center"/>
          </w:tcPr>
          <w:p w14:paraId="5056512B" w14:textId="40DFCA57" w:rsidR="006270AA" w:rsidRPr="00205472" w:rsidRDefault="006270AA" w:rsidP="00D82997">
            <w:pPr>
              <w:pStyle w:val="TableParagraph"/>
              <w:rPr>
                <w:b w:val="0"/>
                <w:bCs w:val="0"/>
              </w:rPr>
            </w:pPr>
            <w:proofErr w:type="gramStart"/>
            <w:r w:rsidRPr="00205472">
              <w:rPr>
                <w:b w:val="0"/>
                <w:bCs w:val="0"/>
              </w:rPr>
              <w:t>All of</w:t>
            </w:r>
            <w:proofErr w:type="gramEnd"/>
            <w:r w:rsidRPr="00205472">
              <w:rPr>
                <w:b w:val="0"/>
                <w:bCs w:val="0"/>
              </w:rPr>
              <w:t xml:space="preserve"> the above assets are used for charitable purposes.</w:t>
            </w:r>
          </w:p>
        </w:tc>
      </w:tr>
      <w:tr w:rsidR="006270AA" w:rsidRPr="00205472" w14:paraId="1FE730A6" w14:textId="77777777" w:rsidTr="006270AA">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9015" w:type="dxa"/>
            <w:gridSpan w:val="8"/>
            <w:vAlign w:val="bottom"/>
          </w:tcPr>
          <w:p w14:paraId="7A4ABAA4" w14:textId="77777777" w:rsidR="006270AA" w:rsidRPr="00205472" w:rsidRDefault="006270AA" w:rsidP="006270AA">
            <w:pPr>
              <w:pStyle w:val="TableParagraph"/>
            </w:pPr>
          </w:p>
        </w:tc>
      </w:tr>
      <w:tr w:rsidR="00FE2FE6" w14:paraId="155418FA" w14:textId="44595913"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center"/>
          </w:tcPr>
          <w:p w14:paraId="16201D03" w14:textId="456BF019" w:rsidR="00FE2FE6" w:rsidRPr="00FE2FE6" w:rsidRDefault="00FE2FE6" w:rsidP="006270AA">
            <w:pPr>
              <w:pStyle w:val="TableParagraph"/>
            </w:pPr>
            <w:r w:rsidRPr="00FE2FE6">
              <w:rPr>
                <w:rFonts w:ascii="Calibri" w:hAnsi="Calibri" w:cs="Calibri"/>
                <w:sz w:val="20"/>
                <w:szCs w:val="20"/>
              </w:rPr>
              <w:t>The charity</w:t>
            </w:r>
          </w:p>
        </w:tc>
        <w:tc>
          <w:tcPr>
            <w:tcW w:w="921" w:type="dxa"/>
            <w:vAlign w:val="bottom"/>
          </w:tcPr>
          <w:p w14:paraId="6905CB5D" w14:textId="05238131" w:rsidR="00FE2FE6" w:rsidRPr="00672FA8" w:rsidRDefault="00FE2FE6" w:rsidP="006270AA">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vAlign w:val="bottom"/>
          </w:tcPr>
          <w:p w14:paraId="1E578F5F" w14:textId="77777777" w:rsidR="00FE2FE6" w:rsidRPr="00672FA8" w:rsidRDefault="00FE2FE6" w:rsidP="006270AA">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vAlign w:val="center"/>
          </w:tcPr>
          <w:p w14:paraId="2023E829" w14:textId="0133F83D"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Freehold property</w:t>
            </w:r>
          </w:p>
        </w:tc>
        <w:tc>
          <w:tcPr>
            <w:tcW w:w="1075" w:type="dxa"/>
            <w:vAlign w:val="center"/>
          </w:tcPr>
          <w:p w14:paraId="1C8E2CA9" w14:textId="3E8AA390"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Furniture and office equipment</w:t>
            </w:r>
          </w:p>
        </w:tc>
        <w:tc>
          <w:tcPr>
            <w:tcW w:w="950" w:type="dxa"/>
            <w:vAlign w:val="center"/>
          </w:tcPr>
          <w:p w14:paraId="70CBCD13" w14:textId="056B096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Database</w:t>
            </w:r>
          </w:p>
        </w:tc>
        <w:tc>
          <w:tcPr>
            <w:tcW w:w="972" w:type="dxa"/>
            <w:vAlign w:val="center"/>
          </w:tcPr>
          <w:p w14:paraId="7B03D36D" w14:textId="29353101"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Models and collection materials</w:t>
            </w:r>
          </w:p>
        </w:tc>
        <w:tc>
          <w:tcPr>
            <w:tcW w:w="957" w:type="dxa"/>
            <w:vAlign w:val="center"/>
          </w:tcPr>
          <w:p w14:paraId="32BB0D36" w14:textId="080F3955"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Total</w:t>
            </w:r>
          </w:p>
        </w:tc>
      </w:tr>
      <w:tr w:rsidR="00FE2FE6" w14:paraId="0A210498" w14:textId="4CF6AC41"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564EF088" w14:textId="0BB904AD" w:rsidR="00FE2FE6" w:rsidRPr="00672FA8" w:rsidRDefault="006270AA" w:rsidP="00FE2FE6">
            <w:pPr>
              <w:pStyle w:val="TableParagraph"/>
            </w:pPr>
            <w:r w:rsidRPr="00FE2FE6">
              <w:rPr>
                <w:rFonts w:ascii="Calibri" w:hAnsi="Calibri" w:cs="Calibri"/>
                <w:sz w:val="20"/>
                <w:szCs w:val="20"/>
              </w:rPr>
              <w:t>Cost</w:t>
            </w:r>
          </w:p>
        </w:tc>
        <w:tc>
          <w:tcPr>
            <w:tcW w:w="921" w:type="dxa"/>
          </w:tcPr>
          <w:p w14:paraId="2D6E76B6"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vAlign w:val="bottom"/>
          </w:tcPr>
          <w:p w14:paraId="01CCEDC7"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vAlign w:val="center"/>
          </w:tcPr>
          <w:p w14:paraId="2DCA8D9D" w14:textId="41C6EBAA"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1075" w:type="dxa"/>
            <w:vAlign w:val="center"/>
          </w:tcPr>
          <w:p w14:paraId="4EA77ADB" w14:textId="67B1A9F2"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950" w:type="dxa"/>
            <w:vAlign w:val="center"/>
          </w:tcPr>
          <w:p w14:paraId="428B3162" w14:textId="765479CC"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972" w:type="dxa"/>
            <w:vAlign w:val="center"/>
          </w:tcPr>
          <w:p w14:paraId="25BA7054" w14:textId="78A5B48C"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957" w:type="dxa"/>
            <w:vAlign w:val="center"/>
          </w:tcPr>
          <w:p w14:paraId="2E3B1913" w14:textId="4B173504"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w:t>
            </w:r>
          </w:p>
        </w:tc>
      </w:tr>
      <w:tr w:rsidR="00FE2FE6" w14:paraId="2E72B091" w14:textId="547EBC13"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0BB84965" w14:textId="2704CAF0" w:rsidR="00FE2FE6" w:rsidRPr="00FE2FE6" w:rsidRDefault="00FE2FE6" w:rsidP="00FE2FE6">
            <w:pPr>
              <w:pStyle w:val="TableParagraph"/>
              <w:rPr>
                <w:b w:val="0"/>
                <w:bCs w:val="0"/>
              </w:rPr>
            </w:pPr>
            <w:r w:rsidRPr="00FE2FE6">
              <w:rPr>
                <w:rFonts w:ascii="Calibri" w:hAnsi="Calibri" w:cs="Calibri"/>
                <w:b w:val="0"/>
                <w:bCs w:val="0"/>
                <w:sz w:val="20"/>
                <w:szCs w:val="20"/>
              </w:rPr>
              <w:t>At the start of the year</w:t>
            </w:r>
          </w:p>
        </w:tc>
        <w:tc>
          <w:tcPr>
            <w:tcW w:w="921" w:type="dxa"/>
            <w:vAlign w:val="bottom"/>
          </w:tcPr>
          <w:p w14:paraId="37E45E2A" w14:textId="0847EE4A"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vAlign w:val="bottom"/>
          </w:tcPr>
          <w:p w14:paraId="4EFD4D1F"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vAlign w:val="center"/>
          </w:tcPr>
          <w:p w14:paraId="66846C43" w14:textId="074BB8BF"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465,007</w:t>
            </w:r>
          </w:p>
        </w:tc>
        <w:tc>
          <w:tcPr>
            <w:tcW w:w="1075" w:type="dxa"/>
            <w:vAlign w:val="center"/>
          </w:tcPr>
          <w:p w14:paraId="013A238E" w14:textId="25D19291"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98,445</w:t>
            </w:r>
          </w:p>
        </w:tc>
        <w:tc>
          <w:tcPr>
            <w:tcW w:w="950" w:type="dxa"/>
            <w:vAlign w:val="center"/>
          </w:tcPr>
          <w:p w14:paraId="1D90A65A" w14:textId="21D18EF5"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23,944</w:t>
            </w:r>
          </w:p>
        </w:tc>
        <w:tc>
          <w:tcPr>
            <w:tcW w:w="972" w:type="dxa"/>
            <w:vAlign w:val="center"/>
          </w:tcPr>
          <w:p w14:paraId="58A92D73" w14:textId="080C601D"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20,905</w:t>
            </w:r>
          </w:p>
        </w:tc>
        <w:tc>
          <w:tcPr>
            <w:tcW w:w="957" w:type="dxa"/>
            <w:vAlign w:val="center"/>
          </w:tcPr>
          <w:p w14:paraId="1D01F514" w14:textId="5459C1B2"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608,301</w:t>
            </w:r>
          </w:p>
        </w:tc>
      </w:tr>
      <w:tr w:rsidR="00FE2FE6" w14:paraId="230E0A14" w14:textId="6F23C160"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00EC6414" w14:textId="7DEA14AD" w:rsidR="00FE2FE6" w:rsidRPr="00FE2FE6" w:rsidRDefault="00FE2FE6" w:rsidP="00FE2FE6">
            <w:pPr>
              <w:pStyle w:val="TableParagraph"/>
              <w:rPr>
                <w:b w:val="0"/>
                <w:bCs w:val="0"/>
              </w:rPr>
            </w:pPr>
            <w:r w:rsidRPr="00FE2FE6">
              <w:rPr>
                <w:rFonts w:ascii="Calibri" w:hAnsi="Calibri" w:cs="Calibri"/>
                <w:b w:val="0"/>
                <w:bCs w:val="0"/>
                <w:sz w:val="20"/>
                <w:szCs w:val="20"/>
              </w:rPr>
              <w:t>Additions in year</w:t>
            </w:r>
          </w:p>
        </w:tc>
        <w:tc>
          <w:tcPr>
            <w:tcW w:w="921" w:type="dxa"/>
            <w:vAlign w:val="bottom"/>
          </w:tcPr>
          <w:p w14:paraId="07C7F121" w14:textId="6668A536"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vAlign w:val="bottom"/>
          </w:tcPr>
          <w:p w14:paraId="1C7A2E02"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vAlign w:val="center"/>
          </w:tcPr>
          <w:p w14:paraId="1643D41A" w14:textId="7EFB2A1C"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1075" w:type="dxa"/>
            <w:vAlign w:val="center"/>
          </w:tcPr>
          <w:p w14:paraId="432CA6F6" w14:textId="73F07C7F"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3,476</w:t>
            </w:r>
          </w:p>
        </w:tc>
        <w:tc>
          <w:tcPr>
            <w:tcW w:w="950" w:type="dxa"/>
            <w:vAlign w:val="center"/>
          </w:tcPr>
          <w:p w14:paraId="3699F8D3" w14:textId="7F660C9D"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5,760</w:t>
            </w:r>
          </w:p>
        </w:tc>
        <w:tc>
          <w:tcPr>
            <w:tcW w:w="972" w:type="dxa"/>
            <w:vAlign w:val="center"/>
          </w:tcPr>
          <w:p w14:paraId="03CFE2F8" w14:textId="5DCFF8BF"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957" w:type="dxa"/>
            <w:vAlign w:val="center"/>
          </w:tcPr>
          <w:p w14:paraId="49BE7A28" w14:textId="12689FC3"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9,236</w:t>
            </w:r>
          </w:p>
        </w:tc>
      </w:tr>
      <w:tr w:rsidR="00FE2FE6" w14:paraId="33D304DE" w14:textId="2B613B28"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6CA56B84" w14:textId="18283998" w:rsidR="00FE2FE6" w:rsidRPr="00FE2FE6" w:rsidRDefault="00FE2FE6" w:rsidP="00FE2FE6">
            <w:pPr>
              <w:pStyle w:val="TableParagraph"/>
              <w:rPr>
                <w:b w:val="0"/>
                <w:bCs w:val="0"/>
              </w:rPr>
            </w:pPr>
            <w:r w:rsidRPr="00FE2FE6">
              <w:rPr>
                <w:rFonts w:ascii="Calibri" w:hAnsi="Calibri" w:cs="Calibri"/>
                <w:b w:val="0"/>
                <w:bCs w:val="0"/>
                <w:sz w:val="20"/>
                <w:szCs w:val="20"/>
              </w:rPr>
              <w:t>Disposals in year</w:t>
            </w:r>
          </w:p>
        </w:tc>
        <w:tc>
          <w:tcPr>
            <w:tcW w:w="921" w:type="dxa"/>
            <w:vAlign w:val="bottom"/>
          </w:tcPr>
          <w:p w14:paraId="211AA762" w14:textId="5796F33D"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vAlign w:val="bottom"/>
          </w:tcPr>
          <w:p w14:paraId="16941AF8"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vAlign w:val="center"/>
          </w:tcPr>
          <w:p w14:paraId="4ADB50B1" w14:textId="048B7341"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w:t>
            </w:r>
          </w:p>
        </w:tc>
        <w:tc>
          <w:tcPr>
            <w:tcW w:w="1075" w:type="dxa"/>
            <w:vAlign w:val="center"/>
          </w:tcPr>
          <w:p w14:paraId="5AB383C5" w14:textId="6BE4FA56"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w:t>
            </w:r>
          </w:p>
        </w:tc>
        <w:tc>
          <w:tcPr>
            <w:tcW w:w="950" w:type="dxa"/>
            <w:vAlign w:val="center"/>
          </w:tcPr>
          <w:p w14:paraId="23DCE86F" w14:textId="08FEEB69"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w:t>
            </w:r>
          </w:p>
        </w:tc>
        <w:tc>
          <w:tcPr>
            <w:tcW w:w="972" w:type="dxa"/>
            <w:vAlign w:val="center"/>
          </w:tcPr>
          <w:p w14:paraId="78DB70D0" w14:textId="0E86AAC8"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w:t>
            </w:r>
          </w:p>
        </w:tc>
        <w:tc>
          <w:tcPr>
            <w:tcW w:w="957" w:type="dxa"/>
            <w:vAlign w:val="center"/>
          </w:tcPr>
          <w:p w14:paraId="4C273337" w14:textId="52C5A400"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w:t>
            </w:r>
          </w:p>
        </w:tc>
      </w:tr>
      <w:tr w:rsidR="00FE2FE6" w14:paraId="524E7636" w14:textId="16E49BFA"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416E8C7E" w14:textId="77777777" w:rsidR="00FE2FE6" w:rsidRPr="00672FA8" w:rsidRDefault="00FE2FE6" w:rsidP="00FE2FE6">
            <w:pPr>
              <w:pStyle w:val="TableParagraph"/>
            </w:pPr>
          </w:p>
        </w:tc>
        <w:tc>
          <w:tcPr>
            <w:tcW w:w="921" w:type="dxa"/>
          </w:tcPr>
          <w:p w14:paraId="4910A16E"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vAlign w:val="bottom"/>
          </w:tcPr>
          <w:p w14:paraId="1E0DC2C5"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tcBorders>
              <w:bottom w:val="single" w:sz="4" w:space="0" w:color="auto"/>
            </w:tcBorders>
            <w:vAlign w:val="center"/>
          </w:tcPr>
          <w:p w14:paraId="10F5AFD3" w14:textId="74D13A7C"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c>
          <w:tcPr>
            <w:tcW w:w="1075" w:type="dxa"/>
            <w:tcBorders>
              <w:bottom w:val="single" w:sz="4" w:space="0" w:color="auto"/>
            </w:tcBorders>
            <w:vAlign w:val="center"/>
          </w:tcPr>
          <w:p w14:paraId="3C66E43B" w14:textId="4A64AC2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c>
          <w:tcPr>
            <w:tcW w:w="950" w:type="dxa"/>
            <w:tcBorders>
              <w:bottom w:val="single" w:sz="4" w:space="0" w:color="auto"/>
            </w:tcBorders>
            <w:vAlign w:val="center"/>
          </w:tcPr>
          <w:p w14:paraId="2B41E412" w14:textId="3699BEBD"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c>
          <w:tcPr>
            <w:tcW w:w="972" w:type="dxa"/>
            <w:tcBorders>
              <w:bottom w:val="single" w:sz="4" w:space="0" w:color="auto"/>
            </w:tcBorders>
            <w:vAlign w:val="center"/>
          </w:tcPr>
          <w:p w14:paraId="7C149CA8" w14:textId="5F5263A4"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c>
          <w:tcPr>
            <w:tcW w:w="957" w:type="dxa"/>
            <w:tcBorders>
              <w:bottom w:val="single" w:sz="4" w:space="0" w:color="auto"/>
            </w:tcBorders>
            <w:vAlign w:val="center"/>
          </w:tcPr>
          <w:p w14:paraId="5B4074E0" w14:textId="03317BA1"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r>
      <w:tr w:rsidR="006270AA" w14:paraId="3CA2BC00" w14:textId="44407E1F"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23B1716E" w14:textId="5A3642BA" w:rsidR="00FE2FE6" w:rsidRPr="00FE2FE6" w:rsidRDefault="00FE2FE6" w:rsidP="00FE2FE6">
            <w:pPr>
              <w:pStyle w:val="TableParagraph"/>
              <w:rPr>
                <w:b w:val="0"/>
                <w:bCs w:val="0"/>
              </w:rPr>
            </w:pPr>
            <w:r w:rsidRPr="00FE2FE6">
              <w:rPr>
                <w:rFonts w:ascii="Calibri" w:hAnsi="Calibri" w:cs="Calibri"/>
                <w:b w:val="0"/>
                <w:bCs w:val="0"/>
                <w:sz w:val="20"/>
                <w:szCs w:val="20"/>
              </w:rPr>
              <w:t>At the end of the year</w:t>
            </w:r>
          </w:p>
        </w:tc>
        <w:tc>
          <w:tcPr>
            <w:tcW w:w="921" w:type="dxa"/>
          </w:tcPr>
          <w:p w14:paraId="69595C0E"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vAlign w:val="bottom"/>
          </w:tcPr>
          <w:p w14:paraId="242D6FC9" w14:textId="72403D4D"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tcBorders>
              <w:top w:val="single" w:sz="4" w:space="0" w:color="auto"/>
              <w:bottom w:val="single" w:sz="4" w:space="0" w:color="auto"/>
            </w:tcBorders>
            <w:vAlign w:val="center"/>
          </w:tcPr>
          <w:p w14:paraId="7E263EAB" w14:textId="19BD97E4"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465,007</w:t>
            </w:r>
          </w:p>
        </w:tc>
        <w:tc>
          <w:tcPr>
            <w:tcW w:w="1075" w:type="dxa"/>
            <w:tcBorders>
              <w:top w:val="single" w:sz="4" w:space="0" w:color="auto"/>
              <w:bottom w:val="single" w:sz="4" w:space="0" w:color="auto"/>
            </w:tcBorders>
            <w:vAlign w:val="center"/>
          </w:tcPr>
          <w:p w14:paraId="1C3F1F5C" w14:textId="132D3833"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101,921</w:t>
            </w:r>
          </w:p>
        </w:tc>
        <w:tc>
          <w:tcPr>
            <w:tcW w:w="950" w:type="dxa"/>
            <w:tcBorders>
              <w:top w:val="single" w:sz="4" w:space="0" w:color="auto"/>
              <w:bottom w:val="single" w:sz="4" w:space="0" w:color="auto"/>
            </w:tcBorders>
            <w:vAlign w:val="center"/>
          </w:tcPr>
          <w:p w14:paraId="5DEF5A37" w14:textId="433716DA"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29,704</w:t>
            </w:r>
          </w:p>
        </w:tc>
        <w:tc>
          <w:tcPr>
            <w:tcW w:w="972" w:type="dxa"/>
            <w:tcBorders>
              <w:top w:val="single" w:sz="4" w:space="0" w:color="auto"/>
              <w:bottom w:val="single" w:sz="4" w:space="0" w:color="auto"/>
            </w:tcBorders>
            <w:vAlign w:val="center"/>
          </w:tcPr>
          <w:p w14:paraId="7EFD2B98" w14:textId="76C57220"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20,905</w:t>
            </w:r>
          </w:p>
        </w:tc>
        <w:tc>
          <w:tcPr>
            <w:tcW w:w="957" w:type="dxa"/>
            <w:tcBorders>
              <w:top w:val="single" w:sz="4" w:space="0" w:color="auto"/>
              <w:bottom w:val="single" w:sz="4" w:space="0" w:color="auto"/>
            </w:tcBorders>
            <w:vAlign w:val="center"/>
          </w:tcPr>
          <w:p w14:paraId="793346F9" w14:textId="1C608AFC"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617,537</w:t>
            </w:r>
          </w:p>
        </w:tc>
      </w:tr>
      <w:tr w:rsidR="006270AA" w14:paraId="04C040A4" w14:textId="410E9A0C"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3957B85B" w14:textId="77777777" w:rsidR="00FE2FE6" w:rsidRPr="00672FA8" w:rsidRDefault="00FE2FE6" w:rsidP="00FE2FE6">
            <w:pPr>
              <w:pStyle w:val="TableParagraph"/>
            </w:pPr>
          </w:p>
        </w:tc>
        <w:tc>
          <w:tcPr>
            <w:tcW w:w="921" w:type="dxa"/>
          </w:tcPr>
          <w:p w14:paraId="754844EF"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vAlign w:val="bottom"/>
          </w:tcPr>
          <w:p w14:paraId="708988C5" w14:textId="257CB5E0"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tcBorders>
              <w:top w:val="single" w:sz="4" w:space="0" w:color="auto"/>
            </w:tcBorders>
            <w:vAlign w:val="center"/>
          </w:tcPr>
          <w:p w14:paraId="6750E8D2"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1075" w:type="dxa"/>
            <w:tcBorders>
              <w:top w:val="single" w:sz="4" w:space="0" w:color="auto"/>
            </w:tcBorders>
            <w:vAlign w:val="center"/>
          </w:tcPr>
          <w:p w14:paraId="2600B8DA"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50" w:type="dxa"/>
            <w:tcBorders>
              <w:top w:val="single" w:sz="4" w:space="0" w:color="auto"/>
            </w:tcBorders>
            <w:vAlign w:val="center"/>
          </w:tcPr>
          <w:p w14:paraId="440C080A"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72" w:type="dxa"/>
            <w:tcBorders>
              <w:top w:val="single" w:sz="4" w:space="0" w:color="auto"/>
            </w:tcBorders>
            <w:vAlign w:val="center"/>
          </w:tcPr>
          <w:p w14:paraId="622A97C9"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57" w:type="dxa"/>
            <w:tcBorders>
              <w:top w:val="single" w:sz="4" w:space="0" w:color="auto"/>
            </w:tcBorders>
            <w:vAlign w:val="center"/>
          </w:tcPr>
          <w:p w14:paraId="6838A10A"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6270AA" w14:paraId="3827F396" w14:textId="5F86DEF0"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5E7C84F4" w14:textId="6EAAB07C" w:rsidR="00FE2FE6" w:rsidRPr="00FE2FE6" w:rsidRDefault="00FE2FE6" w:rsidP="00FE2FE6">
            <w:pPr>
              <w:pStyle w:val="TableParagraph"/>
            </w:pPr>
            <w:r w:rsidRPr="00FE2FE6">
              <w:rPr>
                <w:rFonts w:ascii="Calibri" w:hAnsi="Calibri" w:cs="Calibri"/>
                <w:sz w:val="20"/>
                <w:szCs w:val="20"/>
              </w:rPr>
              <w:t>Depreciation</w:t>
            </w:r>
          </w:p>
        </w:tc>
        <w:tc>
          <w:tcPr>
            <w:tcW w:w="921" w:type="dxa"/>
          </w:tcPr>
          <w:p w14:paraId="6A057960"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vAlign w:val="bottom"/>
          </w:tcPr>
          <w:p w14:paraId="6F0E57ED" w14:textId="3C5A1270"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vAlign w:val="center"/>
          </w:tcPr>
          <w:p w14:paraId="14500933" w14:textId="7777777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075" w:type="dxa"/>
            <w:vAlign w:val="center"/>
          </w:tcPr>
          <w:p w14:paraId="5D7DA4CB" w14:textId="7777777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50" w:type="dxa"/>
            <w:vAlign w:val="center"/>
          </w:tcPr>
          <w:p w14:paraId="566D0192" w14:textId="7777777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72" w:type="dxa"/>
            <w:vAlign w:val="center"/>
          </w:tcPr>
          <w:p w14:paraId="09010B09" w14:textId="7777777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957" w:type="dxa"/>
            <w:vAlign w:val="center"/>
          </w:tcPr>
          <w:p w14:paraId="54238304" w14:textId="7777777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p>
        </w:tc>
      </w:tr>
      <w:tr w:rsidR="006270AA" w14:paraId="5B3F7D3F" w14:textId="71660485"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4DEC7D8B" w14:textId="254179DD" w:rsidR="00FE2FE6" w:rsidRPr="00FE2FE6" w:rsidRDefault="00FE2FE6" w:rsidP="00FE2FE6">
            <w:pPr>
              <w:pStyle w:val="TableParagraph"/>
              <w:rPr>
                <w:b w:val="0"/>
                <w:bCs w:val="0"/>
              </w:rPr>
            </w:pPr>
            <w:r w:rsidRPr="00FE2FE6">
              <w:rPr>
                <w:rFonts w:ascii="Calibri" w:hAnsi="Calibri" w:cs="Calibri"/>
                <w:b w:val="0"/>
                <w:bCs w:val="0"/>
                <w:sz w:val="20"/>
                <w:szCs w:val="20"/>
              </w:rPr>
              <w:t>At the start of the year</w:t>
            </w:r>
          </w:p>
        </w:tc>
        <w:tc>
          <w:tcPr>
            <w:tcW w:w="921" w:type="dxa"/>
          </w:tcPr>
          <w:p w14:paraId="04992F2B"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tcPr>
          <w:p w14:paraId="03B326CB"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vAlign w:val="center"/>
          </w:tcPr>
          <w:p w14:paraId="0AE3E6A2" w14:textId="4A9A124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(190,748)</w:t>
            </w:r>
          </w:p>
        </w:tc>
        <w:tc>
          <w:tcPr>
            <w:tcW w:w="1075" w:type="dxa"/>
            <w:vAlign w:val="center"/>
          </w:tcPr>
          <w:p w14:paraId="641380C2" w14:textId="322B6793"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(91,029)</w:t>
            </w:r>
          </w:p>
        </w:tc>
        <w:tc>
          <w:tcPr>
            <w:tcW w:w="950" w:type="dxa"/>
            <w:vAlign w:val="center"/>
          </w:tcPr>
          <w:p w14:paraId="33140067" w14:textId="167511B9"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(22,480)</w:t>
            </w:r>
          </w:p>
        </w:tc>
        <w:tc>
          <w:tcPr>
            <w:tcW w:w="972" w:type="dxa"/>
            <w:vAlign w:val="center"/>
          </w:tcPr>
          <w:p w14:paraId="131BB79E" w14:textId="291E15F4"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(20,905)</w:t>
            </w:r>
          </w:p>
        </w:tc>
        <w:tc>
          <w:tcPr>
            <w:tcW w:w="957" w:type="dxa"/>
            <w:vAlign w:val="center"/>
          </w:tcPr>
          <w:p w14:paraId="71C85AE0" w14:textId="7F03151C"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(325,163)</w:t>
            </w:r>
          </w:p>
        </w:tc>
      </w:tr>
      <w:tr w:rsidR="006270AA" w14:paraId="176D0F11" w14:textId="2E532741"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2DB4D3DF" w14:textId="5BECCDA7" w:rsidR="00FE2FE6" w:rsidRPr="00FE2FE6" w:rsidRDefault="00FE2FE6" w:rsidP="00FE2FE6">
            <w:pPr>
              <w:pStyle w:val="TableParagraph"/>
              <w:rPr>
                <w:b w:val="0"/>
                <w:bCs w:val="0"/>
              </w:rPr>
            </w:pPr>
            <w:r w:rsidRPr="00FE2FE6">
              <w:rPr>
                <w:rFonts w:ascii="Calibri" w:hAnsi="Calibri" w:cs="Calibri"/>
                <w:b w:val="0"/>
                <w:bCs w:val="0"/>
                <w:sz w:val="20"/>
                <w:szCs w:val="20"/>
              </w:rPr>
              <w:t>Charge for the year</w:t>
            </w:r>
          </w:p>
        </w:tc>
        <w:tc>
          <w:tcPr>
            <w:tcW w:w="921" w:type="dxa"/>
          </w:tcPr>
          <w:p w14:paraId="0D30E0C4"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tcPr>
          <w:p w14:paraId="272B6F02"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vAlign w:val="center"/>
          </w:tcPr>
          <w:p w14:paraId="484E7538" w14:textId="13BC1A11"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(11,444)</w:t>
            </w:r>
          </w:p>
        </w:tc>
        <w:tc>
          <w:tcPr>
            <w:tcW w:w="1075" w:type="dxa"/>
            <w:vAlign w:val="center"/>
          </w:tcPr>
          <w:p w14:paraId="04F3C8DA" w14:textId="46314D3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(3,184)</w:t>
            </w:r>
          </w:p>
        </w:tc>
        <w:tc>
          <w:tcPr>
            <w:tcW w:w="950" w:type="dxa"/>
            <w:vAlign w:val="center"/>
          </w:tcPr>
          <w:p w14:paraId="03F03149" w14:textId="24359D48"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(2,484)</w:t>
            </w:r>
          </w:p>
        </w:tc>
        <w:tc>
          <w:tcPr>
            <w:tcW w:w="972" w:type="dxa"/>
            <w:vAlign w:val="center"/>
          </w:tcPr>
          <w:p w14:paraId="6173E4A7" w14:textId="023CFEAC"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w:t>
            </w:r>
          </w:p>
        </w:tc>
        <w:tc>
          <w:tcPr>
            <w:tcW w:w="957" w:type="dxa"/>
            <w:vAlign w:val="center"/>
          </w:tcPr>
          <w:p w14:paraId="4715C766" w14:textId="344DC06B"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(17,111)</w:t>
            </w:r>
          </w:p>
        </w:tc>
      </w:tr>
      <w:tr w:rsidR="006270AA" w14:paraId="6B576036" w14:textId="298F6547"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4DE7B7AC" w14:textId="269A6C9E" w:rsidR="00FE2FE6" w:rsidRPr="00FE2FE6" w:rsidRDefault="00FE2FE6" w:rsidP="00FE2FE6">
            <w:pPr>
              <w:pStyle w:val="TableParagraph"/>
              <w:rPr>
                <w:b w:val="0"/>
                <w:bCs w:val="0"/>
              </w:rPr>
            </w:pPr>
            <w:r w:rsidRPr="00FE2FE6">
              <w:rPr>
                <w:rFonts w:ascii="Calibri" w:hAnsi="Calibri" w:cs="Calibri"/>
                <w:b w:val="0"/>
                <w:bCs w:val="0"/>
                <w:sz w:val="20"/>
                <w:szCs w:val="20"/>
              </w:rPr>
              <w:t>Eliminated on disposal</w:t>
            </w:r>
          </w:p>
        </w:tc>
        <w:tc>
          <w:tcPr>
            <w:tcW w:w="921" w:type="dxa"/>
          </w:tcPr>
          <w:p w14:paraId="4D7E19AD"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tcPr>
          <w:p w14:paraId="79ABD3AB"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vAlign w:val="center"/>
          </w:tcPr>
          <w:p w14:paraId="4FE42E72" w14:textId="3240C3B6"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1075" w:type="dxa"/>
            <w:vAlign w:val="center"/>
          </w:tcPr>
          <w:p w14:paraId="7FD6B7D5" w14:textId="6C6C1683"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950" w:type="dxa"/>
            <w:vAlign w:val="center"/>
          </w:tcPr>
          <w:p w14:paraId="6E856667" w14:textId="37DF9A0A"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972" w:type="dxa"/>
            <w:vAlign w:val="center"/>
          </w:tcPr>
          <w:p w14:paraId="48157E25" w14:textId="7902B578"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957" w:type="dxa"/>
            <w:vAlign w:val="center"/>
          </w:tcPr>
          <w:p w14:paraId="7D2D2ABB" w14:textId="25DB9C6B"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w:t>
            </w:r>
          </w:p>
        </w:tc>
      </w:tr>
      <w:tr w:rsidR="006270AA" w14:paraId="483480A1" w14:textId="48CD5540"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1212DEF2" w14:textId="77777777" w:rsidR="00FE2FE6" w:rsidRPr="00672FA8" w:rsidRDefault="00FE2FE6" w:rsidP="00FE2FE6">
            <w:pPr>
              <w:pStyle w:val="TableParagraph"/>
            </w:pPr>
          </w:p>
        </w:tc>
        <w:tc>
          <w:tcPr>
            <w:tcW w:w="921" w:type="dxa"/>
          </w:tcPr>
          <w:p w14:paraId="78FFAFF8"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tcPr>
          <w:p w14:paraId="040EB6EE"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tcBorders>
              <w:bottom w:val="single" w:sz="4" w:space="0" w:color="auto"/>
            </w:tcBorders>
            <w:vAlign w:val="center"/>
          </w:tcPr>
          <w:p w14:paraId="438C896D" w14:textId="79A0E62B"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w:t>
            </w:r>
          </w:p>
        </w:tc>
        <w:tc>
          <w:tcPr>
            <w:tcW w:w="1075" w:type="dxa"/>
            <w:tcBorders>
              <w:bottom w:val="single" w:sz="4" w:space="0" w:color="auto"/>
            </w:tcBorders>
            <w:vAlign w:val="center"/>
          </w:tcPr>
          <w:p w14:paraId="0180E096" w14:textId="09A89023"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w:t>
            </w:r>
          </w:p>
        </w:tc>
        <w:tc>
          <w:tcPr>
            <w:tcW w:w="950" w:type="dxa"/>
            <w:tcBorders>
              <w:bottom w:val="single" w:sz="4" w:space="0" w:color="auto"/>
            </w:tcBorders>
            <w:vAlign w:val="center"/>
          </w:tcPr>
          <w:p w14:paraId="0840827C" w14:textId="18254508"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w:t>
            </w:r>
          </w:p>
        </w:tc>
        <w:tc>
          <w:tcPr>
            <w:tcW w:w="972" w:type="dxa"/>
            <w:tcBorders>
              <w:bottom w:val="single" w:sz="4" w:space="0" w:color="auto"/>
            </w:tcBorders>
            <w:vAlign w:val="center"/>
          </w:tcPr>
          <w:p w14:paraId="2708BF8B" w14:textId="77F8A425"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w:t>
            </w:r>
          </w:p>
        </w:tc>
        <w:tc>
          <w:tcPr>
            <w:tcW w:w="957" w:type="dxa"/>
            <w:tcBorders>
              <w:bottom w:val="single" w:sz="4" w:space="0" w:color="auto"/>
            </w:tcBorders>
            <w:vAlign w:val="center"/>
          </w:tcPr>
          <w:p w14:paraId="084C41E9" w14:textId="750C7CA6"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 </w:t>
            </w:r>
          </w:p>
        </w:tc>
      </w:tr>
      <w:tr w:rsidR="006270AA" w14:paraId="7B365875" w14:textId="145E2254"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49992B11" w14:textId="0D45A0EC" w:rsidR="00FE2FE6" w:rsidRPr="00FE2FE6" w:rsidRDefault="00FE2FE6" w:rsidP="00FE2FE6">
            <w:pPr>
              <w:pStyle w:val="TableParagraph"/>
              <w:rPr>
                <w:b w:val="0"/>
                <w:bCs w:val="0"/>
              </w:rPr>
            </w:pPr>
            <w:r w:rsidRPr="00FE2FE6">
              <w:rPr>
                <w:rFonts w:ascii="Calibri" w:hAnsi="Calibri" w:cs="Calibri"/>
                <w:b w:val="0"/>
                <w:bCs w:val="0"/>
                <w:sz w:val="20"/>
                <w:szCs w:val="20"/>
              </w:rPr>
              <w:t>At the end of the year</w:t>
            </w:r>
          </w:p>
        </w:tc>
        <w:tc>
          <w:tcPr>
            <w:tcW w:w="921" w:type="dxa"/>
          </w:tcPr>
          <w:p w14:paraId="1416082A"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tcPr>
          <w:p w14:paraId="2C43F6B2"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tcBorders>
              <w:top w:val="single" w:sz="4" w:space="0" w:color="auto"/>
              <w:bottom w:val="single" w:sz="4" w:space="0" w:color="auto"/>
            </w:tcBorders>
            <w:vAlign w:val="center"/>
          </w:tcPr>
          <w:p w14:paraId="465BD06C" w14:textId="2CAB03A5"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(202,192)</w:t>
            </w:r>
          </w:p>
        </w:tc>
        <w:tc>
          <w:tcPr>
            <w:tcW w:w="1075" w:type="dxa"/>
            <w:tcBorders>
              <w:top w:val="single" w:sz="4" w:space="0" w:color="auto"/>
              <w:bottom w:val="single" w:sz="4" w:space="0" w:color="auto"/>
            </w:tcBorders>
            <w:vAlign w:val="center"/>
          </w:tcPr>
          <w:p w14:paraId="4B579D32" w14:textId="22AE3B99"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(94,213)</w:t>
            </w:r>
          </w:p>
        </w:tc>
        <w:tc>
          <w:tcPr>
            <w:tcW w:w="950" w:type="dxa"/>
            <w:tcBorders>
              <w:top w:val="single" w:sz="4" w:space="0" w:color="auto"/>
              <w:bottom w:val="single" w:sz="4" w:space="0" w:color="auto"/>
            </w:tcBorders>
            <w:vAlign w:val="center"/>
          </w:tcPr>
          <w:p w14:paraId="6BB682B4" w14:textId="68D5FDC0"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(24,964)</w:t>
            </w:r>
          </w:p>
        </w:tc>
        <w:tc>
          <w:tcPr>
            <w:tcW w:w="972" w:type="dxa"/>
            <w:tcBorders>
              <w:top w:val="single" w:sz="4" w:space="0" w:color="auto"/>
              <w:bottom w:val="single" w:sz="4" w:space="0" w:color="auto"/>
            </w:tcBorders>
            <w:vAlign w:val="center"/>
          </w:tcPr>
          <w:p w14:paraId="34C35C20" w14:textId="18BE1169"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(20,905)</w:t>
            </w:r>
          </w:p>
        </w:tc>
        <w:tc>
          <w:tcPr>
            <w:tcW w:w="957" w:type="dxa"/>
            <w:tcBorders>
              <w:top w:val="single" w:sz="4" w:space="0" w:color="auto"/>
              <w:bottom w:val="single" w:sz="4" w:space="0" w:color="auto"/>
            </w:tcBorders>
            <w:vAlign w:val="center"/>
          </w:tcPr>
          <w:p w14:paraId="7A57BCA4" w14:textId="7B16ECF4"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(342,274)</w:t>
            </w:r>
          </w:p>
        </w:tc>
      </w:tr>
      <w:tr w:rsidR="006270AA" w14:paraId="4BF9883C" w14:textId="12ECCE66"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6EEC83C7" w14:textId="77777777" w:rsidR="00FE2FE6" w:rsidRPr="00672FA8" w:rsidRDefault="00FE2FE6" w:rsidP="00FE2FE6">
            <w:pPr>
              <w:pStyle w:val="TableParagraph"/>
            </w:pPr>
          </w:p>
        </w:tc>
        <w:tc>
          <w:tcPr>
            <w:tcW w:w="921" w:type="dxa"/>
          </w:tcPr>
          <w:p w14:paraId="02884C21"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tcPr>
          <w:p w14:paraId="41DD3194"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tcBorders>
              <w:top w:val="single" w:sz="4" w:space="0" w:color="auto"/>
            </w:tcBorders>
            <w:vAlign w:val="center"/>
          </w:tcPr>
          <w:p w14:paraId="5DC3DF52" w14:textId="37B7ACE1"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w:t>
            </w:r>
          </w:p>
        </w:tc>
        <w:tc>
          <w:tcPr>
            <w:tcW w:w="1075" w:type="dxa"/>
            <w:tcBorders>
              <w:top w:val="single" w:sz="4" w:space="0" w:color="auto"/>
            </w:tcBorders>
            <w:vAlign w:val="center"/>
          </w:tcPr>
          <w:p w14:paraId="3E5B347E" w14:textId="11312EDB"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w:t>
            </w:r>
          </w:p>
        </w:tc>
        <w:tc>
          <w:tcPr>
            <w:tcW w:w="950" w:type="dxa"/>
            <w:tcBorders>
              <w:top w:val="single" w:sz="4" w:space="0" w:color="auto"/>
            </w:tcBorders>
            <w:vAlign w:val="center"/>
          </w:tcPr>
          <w:p w14:paraId="33B1B951" w14:textId="7474914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w:t>
            </w:r>
          </w:p>
        </w:tc>
        <w:tc>
          <w:tcPr>
            <w:tcW w:w="972" w:type="dxa"/>
            <w:tcBorders>
              <w:top w:val="single" w:sz="4" w:space="0" w:color="auto"/>
            </w:tcBorders>
            <w:vAlign w:val="center"/>
          </w:tcPr>
          <w:p w14:paraId="57D9BBFE" w14:textId="4EAEA742"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 </w:t>
            </w:r>
          </w:p>
        </w:tc>
        <w:tc>
          <w:tcPr>
            <w:tcW w:w="957" w:type="dxa"/>
            <w:tcBorders>
              <w:top w:val="single" w:sz="4" w:space="0" w:color="auto"/>
            </w:tcBorders>
            <w:vAlign w:val="center"/>
          </w:tcPr>
          <w:p w14:paraId="21B6EB69" w14:textId="398D4833"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 </w:t>
            </w:r>
          </w:p>
        </w:tc>
      </w:tr>
      <w:tr w:rsidR="006270AA" w14:paraId="7029FE89" w14:textId="0171D225"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3EEC440F" w14:textId="433B4810" w:rsidR="00FE2FE6" w:rsidRPr="00672FA8" w:rsidRDefault="00FE2FE6" w:rsidP="00FE2FE6">
            <w:pPr>
              <w:pStyle w:val="TableParagraph"/>
            </w:pPr>
            <w:r>
              <w:rPr>
                <w:rFonts w:ascii="Calibri" w:hAnsi="Calibri" w:cs="Calibri"/>
                <w:b w:val="0"/>
                <w:bCs w:val="0"/>
                <w:sz w:val="20"/>
                <w:szCs w:val="20"/>
              </w:rPr>
              <w:t>Net book value</w:t>
            </w:r>
          </w:p>
        </w:tc>
        <w:tc>
          <w:tcPr>
            <w:tcW w:w="921" w:type="dxa"/>
          </w:tcPr>
          <w:p w14:paraId="08FBBA43"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tcPr>
          <w:p w14:paraId="3C254267"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vAlign w:val="center"/>
          </w:tcPr>
          <w:p w14:paraId="7C714DBE"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1075" w:type="dxa"/>
            <w:vAlign w:val="center"/>
          </w:tcPr>
          <w:p w14:paraId="21C07A8C"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50" w:type="dxa"/>
            <w:vAlign w:val="center"/>
          </w:tcPr>
          <w:p w14:paraId="7762FFB7"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72" w:type="dxa"/>
            <w:vAlign w:val="center"/>
          </w:tcPr>
          <w:p w14:paraId="4AF86C11"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c>
          <w:tcPr>
            <w:tcW w:w="957" w:type="dxa"/>
            <w:vAlign w:val="center"/>
          </w:tcPr>
          <w:p w14:paraId="0697955C" w14:textId="7777777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6270AA" w14:paraId="79E867E3" w14:textId="00499B95"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1616B805" w14:textId="54486ED8" w:rsidR="00FE2FE6" w:rsidRPr="00672FA8" w:rsidRDefault="00FE2FE6" w:rsidP="00FE2FE6">
            <w:pPr>
              <w:pStyle w:val="TableParagraph"/>
            </w:pPr>
            <w:r>
              <w:rPr>
                <w:rFonts w:ascii="Calibri" w:hAnsi="Calibri" w:cs="Calibri"/>
                <w:b w:val="0"/>
                <w:bCs w:val="0"/>
                <w:sz w:val="20"/>
                <w:szCs w:val="20"/>
              </w:rPr>
              <w:t>At the end of the year</w:t>
            </w:r>
          </w:p>
        </w:tc>
        <w:tc>
          <w:tcPr>
            <w:tcW w:w="921" w:type="dxa"/>
          </w:tcPr>
          <w:p w14:paraId="009E612D"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tcPr>
          <w:p w14:paraId="5702A827"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vAlign w:val="center"/>
          </w:tcPr>
          <w:p w14:paraId="1BF9D1D6" w14:textId="1C7008B6"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262,815</w:t>
            </w:r>
          </w:p>
        </w:tc>
        <w:tc>
          <w:tcPr>
            <w:tcW w:w="1075" w:type="dxa"/>
            <w:vAlign w:val="center"/>
          </w:tcPr>
          <w:p w14:paraId="59F3D2BC" w14:textId="26DF4BF8"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7,708</w:t>
            </w:r>
          </w:p>
        </w:tc>
        <w:tc>
          <w:tcPr>
            <w:tcW w:w="950" w:type="dxa"/>
            <w:vAlign w:val="center"/>
          </w:tcPr>
          <w:p w14:paraId="0AC1F66F" w14:textId="36F64B87"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4,740</w:t>
            </w:r>
          </w:p>
        </w:tc>
        <w:tc>
          <w:tcPr>
            <w:tcW w:w="972" w:type="dxa"/>
            <w:vAlign w:val="center"/>
          </w:tcPr>
          <w:p w14:paraId="12167F2E" w14:textId="1D537F12"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w:t>
            </w:r>
          </w:p>
        </w:tc>
        <w:tc>
          <w:tcPr>
            <w:tcW w:w="957" w:type="dxa"/>
            <w:vAlign w:val="center"/>
          </w:tcPr>
          <w:p w14:paraId="22E241BC" w14:textId="7C17943B"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275,263</w:t>
            </w:r>
          </w:p>
        </w:tc>
      </w:tr>
      <w:tr w:rsidR="006270AA" w14:paraId="4A23F3DE" w14:textId="5D009001"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63E65763" w14:textId="77777777" w:rsidR="00FE2FE6" w:rsidRPr="00672FA8" w:rsidRDefault="00FE2FE6" w:rsidP="00FE2FE6">
            <w:pPr>
              <w:pStyle w:val="TableParagraph"/>
            </w:pPr>
          </w:p>
        </w:tc>
        <w:tc>
          <w:tcPr>
            <w:tcW w:w="921" w:type="dxa"/>
          </w:tcPr>
          <w:p w14:paraId="16B36EC6"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tcPr>
          <w:p w14:paraId="7CAD546E"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tcBorders>
              <w:bottom w:val="single" w:sz="4" w:space="0" w:color="auto"/>
            </w:tcBorders>
            <w:vAlign w:val="center"/>
          </w:tcPr>
          <w:p w14:paraId="208CEA23" w14:textId="110AE0D9"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c>
          <w:tcPr>
            <w:tcW w:w="1075" w:type="dxa"/>
            <w:tcBorders>
              <w:bottom w:val="single" w:sz="4" w:space="0" w:color="auto"/>
            </w:tcBorders>
            <w:vAlign w:val="center"/>
          </w:tcPr>
          <w:p w14:paraId="58FF0306" w14:textId="5F723CB6"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c>
          <w:tcPr>
            <w:tcW w:w="950" w:type="dxa"/>
            <w:tcBorders>
              <w:bottom w:val="single" w:sz="4" w:space="0" w:color="auto"/>
            </w:tcBorders>
            <w:vAlign w:val="center"/>
          </w:tcPr>
          <w:p w14:paraId="7EC9AC19" w14:textId="21BC41E7"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c>
          <w:tcPr>
            <w:tcW w:w="972" w:type="dxa"/>
            <w:tcBorders>
              <w:bottom w:val="single" w:sz="4" w:space="0" w:color="auto"/>
            </w:tcBorders>
            <w:vAlign w:val="center"/>
          </w:tcPr>
          <w:p w14:paraId="6A73EF01" w14:textId="273EA531"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c>
          <w:tcPr>
            <w:tcW w:w="957" w:type="dxa"/>
            <w:tcBorders>
              <w:bottom w:val="single" w:sz="4" w:space="0" w:color="auto"/>
            </w:tcBorders>
            <w:vAlign w:val="center"/>
          </w:tcPr>
          <w:p w14:paraId="79A170CB" w14:textId="2F9E951E"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r>
      <w:tr w:rsidR="00FE2FE6" w14:paraId="32EFB31A" w14:textId="77777777" w:rsidTr="00D82997">
        <w:trPr>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483CA68D" w14:textId="79D136EC" w:rsidR="00FE2FE6" w:rsidRPr="00FE2FE6" w:rsidRDefault="00FE2FE6" w:rsidP="00FE2FE6">
            <w:pPr>
              <w:pStyle w:val="TableParagraph"/>
              <w:rPr>
                <w:b w:val="0"/>
                <w:bCs w:val="0"/>
              </w:rPr>
            </w:pPr>
            <w:r w:rsidRPr="00FE2FE6">
              <w:rPr>
                <w:rFonts w:ascii="Calibri" w:hAnsi="Calibri" w:cs="Calibri"/>
                <w:b w:val="0"/>
                <w:bCs w:val="0"/>
                <w:sz w:val="20"/>
                <w:szCs w:val="20"/>
              </w:rPr>
              <w:t>At the start of the year</w:t>
            </w:r>
          </w:p>
        </w:tc>
        <w:tc>
          <w:tcPr>
            <w:tcW w:w="921" w:type="dxa"/>
          </w:tcPr>
          <w:p w14:paraId="59CE3FEB"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854" w:type="dxa"/>
          </w:tcPr>
          <w:p w14:paraId="58770C43"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c>
          <w:tcPr>
            <w:tcW w:w="1228" w:type="dxa"/>
            <w:tcBorders>
              <w:top w:val="single" w:sz="4" w:space="0" w:color="auto"/>
              <w:bottom w:val="single" w:sz="4" w:space="0" w:color="auto"/>
            </w:tcBorders>
            <w:vAlign w:val="center"/>
          </w:tcPr>
          <w:p w14:paraId="6A1E43C6" w14:textId="6960972F"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274,259</w:t>
            </w:r>
          </w:p>
        </w:tc>
        <w:tc>
          <w:tcPr>
            <w:tcW w:w="1075" w:type="dxa"/>
            <w:tcBorders>
              <w:top w:val="single" w:sz="4" w:space="0" w:color="auto"/>
              <w:bottom w:val="single" w:sz="4" w:space="0" w:color="auto"/>
            </w:tcBorders>
            <w:vAlign w:val="center"/>
          </w:tcPr>
          <w:p w14:paraId="261AF02D" w14:textId="3C90073B"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7,416</w:t>
            </w:r>
          </w:p>
        </w:tc>
        <w:tc>
          <w:tcPr>
            <w:tcW w:w="950" w:type="dxa"/>
            <w:tcBorders>
              <w:top w:val="single" w:sz="4" w:space="0" w:color="auto"/>
              <w:bottom w:val="single" w:sz="4" w:space="0" w:color="auto"/>
            </w:tcBorders>
            <w:vAlign w:val="center"/>
          </w:tcPr>
          <w:p w14:paraId="727CC1BD" w14:textId="4E38F5D0"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1,464</w:t>
            </w:r>
          </w:p>
        </w:tc>
        <w:tc>
          <w:tcPr>
            <w:tcW w:w="972" w:type="dxa"/>
            <w:tcBorders>
              <w:top w:val="single" w:sz="4" w:space="0" w:color="auto"/>
              <w:bottom w:val="single" w:sz="4" w:space="0" w:color="auto"/>
            </w:tcBorders>
            <w:vAlign w:val="center"/>
          </w:tcPr>
          <w:p w14:paraId="3721763B" w14:textId="2953FF80" w:rsidR="00FE2FE6" w:rsidRPr="00672FA8"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w:t>
            </w:r>
          </w:p>
        </w:tc>
        <w:tc>
          <w:tcPr>
            <w:tcW w:w="957" w:type="dxa"/>
            <w:tcBorders>
              <w:top w:val="single" w:sz="4" w:space="0" w:color="auto"/>
              <w:bottom w:val="single" w:sz="4" w:space="0" w:color="auto"/>
            </w:tcBorders>
            <w:vAlign w:val="center"/>
          </w:tcPr>
          <w:p w14:paraId="19C197F8" w14:textId="71CB7923" w:rsidR="00FE2FE6" w:rsidRPr="00D82997" w:rsidRDefault="00FE2FE6" w:rsidP="00D82997">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D82997">
              <w:rPr>
                <w:rFonts w:ascii="Calibri" w:hAnsi="Calibri" w:cs="Calibri"/>
                <w:b/>
                <w:bCs/>
                <w:sz w:val="20"/>
                <w:szCs w:val="20"/>
              </w:rPr>
              <w:t>283,138</w:t>
            </w:r>
          </w:p>
        </w:tc>
      </w:tr>
      <w:tr w:rsidR="00FE2FE6" w14:paraId="3D8A61EE" w14:textId="77777777" w:rsidTr="00D8299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58" w:type="dxa"/>
            <w:vAlign w:val="bottom"/>
          </w:tcPr>
          <w:p w14:paraId="30B6B427" w14:textId="77777777" w:rsidR="00FE2FE6" w:rsidRPr="00672FA8" w:rsidRDefault="00FE2FE6" w:rsidP="00FE2FE6">
            <w:pPr>
              <w:pStyle w:val="TableParagraph"/>
            </w:pPr>
          </w:p>
        </w:tc>
        <w:tc>
          <w:tcPr>
            <w:tcW w:w="921" w:type="dxa"/>
          </w:tcPr>
          <w:p w14:paraId="6C2A0F7C"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854" w:type="dxa"/>
          </w:tcPr>
          <w:p w14:paraId="24A107A7" w14:textId="77777777" w:rsidR="00FE2FE6" w:rsidRPr="00672FA8" w:rsidRDefault="00FE2FE6" w:rsidP="00FE2FE6">
            <w:pPr>
              <w:pStyle w:val="TableParagraph"/>
              <w:cnfStyle w:val="000000100000" w:firstRow="0" w:lastRow="0" w:firstColumn="0" w:lastColumn="0" w:oddVBand="0" w:evenVBand="0" w:oddHBand="1" w:evenHBand="0" w:firstRowFirstColumn="0" w:firstRowLastColumn="0" w:lastRowFirstColumn="0" w:lastRowLastColumn="0"/>
            </w:pPr>
          </w:p>
        </w:tc>
        <w:tc>
          <w:tcPr>
            <w:tcW w:w="1228" w:type="dxa"/>
            <w:tcBorders>
              <w:top w:val="single" w:sz="4" w:space="0" w:color="auto"/>
            </w:tcBorders>
            <w:vAlign w:val="center"/>
          </w:tcPr>
          <w:p w14:paraId="50AF5208" w14:textId="3994C250"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c>
          <w:tcPr>
            <w:tcW w:w="1075" w:type="dxa"/>
            <w:tcBorders>
              <w:top w:val="single" w:sz="4" w:space="0" w:color="auto"/>
            </w:tcBorders>
            <w:vAlign w:val="center"/>
          </w:tcPr>
          <w:p w14:paraId="70EAD7DE" w14:textId="7C723899"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c>
          <w:tcPr>
            <w:tcW w:w="950" w:type="dxa"/>
            <w:tcBorders>
              <w:top w:val="single" w:sz="4" w:space="0" w:color="auto"/>
            </w:tcBorders>
            <w:vAlign w:val="center"/>
          </w:tcPr>
          <w:p w14:paraId="7C684D1E" w14:textId="7A3AFD8F"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c>
          <w:tcPr>
            <w:tcW w:w="972" w:type="dxa"/>
            <w:tcBorders>
              <w:top w:val="single" w:sz="4" w:space="0" w:color="auto"/>
            </w:tcBorders>
            <w:vAlign w:val="center"/>
          </w:tcPr>
          <w:p w14:paraId="48636046" w14:textId="167D9BE8"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c>
          <w:tcPr>
            <w:tcW w:w="957" w:type="dxa"/>
            <w:tcBorders>
              <w:top w:val="single" w:sz="4" w:space="0" w:color="auto"/>
            </w:tcBorders>
            <w:vAlign w:val="center"/>
          </w:tcPr>
          <w:p w14:paraId="27713852" w14:textId="25F31A5E" w:rsidR="00FE2FE6" w:rsidRPr="00672FA8" w:rsidRDefault="00FE2FE6" w:rsidP="00D82997">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 </w:t>
            </w:r>
          </w:p>
        </w:tc>
      </w:tr>
      <w:tr w:rsidR="00FE2FE6" w14:paraId="164A6D6B" w14:textId="77777777" w:rsidTr="0088348E">
        <w:trPr>
          <w:trHeight w:val="274"/>
        </w:trPr>
        <w:tc>
          <w:tcPr>
            <w:cnfStyle w:val="001000000000" w:firstRow="0" w:lastRow="0" w:firstColumn="1" w:lastColumn="0" w:oddVBand="0" w:evenVBand="0" w:oddHBand="0" w:evenHBand="0" w:firstRowFirstColumn="0" w:firstRowLastColumn="0" w:lastRowFirstColumn="0" w:lastRowLastColumn="0"/>
            <w:tcW w:w="8058" w:type="dxa"/>
            <w:gridSpan w:val="7"/>
            <w:vAlign w:val="bottom"/>
          </w:tcPr>
          <w:p w14:paraId="2AA98D11" w14:textId="28FC6547" w:rsidR="00FE2FE6" w:rsidRPr="006270AA" w:rsidRDefault="00FE2FE6" w:rsidP="00FE2FE6">
            <w:pPr>
              <w:pStyle w:val="TableParagraph"/>
              <w:rPr>
                <w:b w:val="0"/>
                <w:bCs w:val="0"/>
              </w:rPr>
            </w:pPr>
            <w:proofErr w:type="gramStart"/>
            <w:r w:rsidRPr="006270AA">
              <w:rPr>
                <w:rFonts w:ascii="Calibri" w:hAnsi="Calibri" w:cs="Calibri"/>
                <w:b w:val="0"/>
                <w:bCs w:val="0"/>
                <w:sz w:val="20"/>
                <w:szCs w:val="20"/>
              </w:rPr>
              <w:t>All of</w:t>
            </w:r>
            <w:proofErr w:type="gramEnd"/>
            <w:r w:rsidRPr="006270AA">
              <w:rPr>
                <w:rFonts w:ascii="Calibri" w:hAnsi="Calibri" w:cs="Calibri"/>
                <w:b w:val="0"/>
                <w:bCs w:val="0"/>
                <w:sz w:val="20"/>
                <w:szCs w:val="20"/>
              </w:rPr>
              <w:t xml:space="preserve"> the above assets are used for charitable purposes.</w:t>
            </w:r>
          </w:p>
        </w:tc>
        <w:tc>
          <w:tcPr>
            <w:tcW w:w="957" w:type="dxa"/>
          </w:tcPr>
          <w:p w14:paraId="4595938D" w14:textId="77777777" w:rsidR="00FE2FE6" w:rsidRPr="00672FA8" w:rsidRDefault="00FE2FE6" w:rsidP="00FE2FE6">
            <w:pPr>
              <w:pStyle w:val="TableParagraph"/>
              <w:cnfStyle w:val="000000000000" w:firstRow="0" w:lastRow="0" w:firstColumn="0" w:lastColumn="0" w:oddVBand="0" w:evenVBand="0" w:oddHBand="0" w:evenHBand="0" w:firstRowFirstColumn="0" w:firstRowLastColumn="0" w:lastRowFirstColumn="0" w:lastRowLastColumn="0"/>
            </w:pPr>
          </w:p>
        </w:tc>
      </w:tr>
    </w:tbl>
    <w:p w14:paraId="0B96B36A" w14:textId="159A004F" w:rsidR="00C74404" w:rsidRDefault="00C74404" w:rsidP="00672FA8">
      <w:pPr>
        <w:pStyle w:val="ListNumber"/>
        <w:numPr>
          <w:ilvl w:val="0"/>
          <w:numId w:val="0"/>
        </w:numPr>
        <w:ind w:left="360" w:hanging="360"/>
      </w:pPr>
    </w:p>
    <w:p w14:paraId="500A8E98" w14:textId="77777777" w:rsidR="00ED12C5" w:rsidRDefault="00ED12C5" w:rsidP="00672FA8">
      <w:pPr>
        <w:pStyle w:val="ListNumber"/>
        <w:numPr>
          <w:ilvl w:val="0"/>
          <w:numId w:val="0"/>
        </w:numPr>
        <w:ind w:left="360" w:hanging="360"/>
      </w:pPr>
    </w:p>
    <w:p w14:paraId="398D741D" w14:textId="7F0BB5B3" w:rsidR="0017512E" w:rsidRDefault="0017512E" w:rsidP="0017512E">
      <w:pPr>
        <w:pStyle w:val="ListNumber"/>
      </w:pPr>
      <w:r w:rsidRPr="0017512E">
        <w:t>Subsidiary undertaking</w:t>
      </w:r>
    </w:p>
    <w:p w14:paraId="0F75C85E" w14:textId="599589DC" w:rsidR="00C74404" w:rsidRPr="007F0D92" w:rsidRDefault="00C74404" w:rsidP="00C74404">
      <w:pPr>
        <w:pStyle w:val="TableParagraph"/>
        <w:rPr>
          <w:szCs w:val="18"/>
        </w:rPr>
      </w:pPr>
      <w:r w:rsidRPr="007F0D92">
        <w:rPr>
          <w:szCs w:val="18"/>
        </w:rPr>
        <w:t xml:space="preserve">The charitable company owns the whole of the issued ordinary share capital of G.L.F. Charitable Purposes Trading Company Limited, a company registered in England. The subsidiary is used for non-primary purpose trading activities. Keith Felton, Heather Goodhew and Sharon Petrie are </w:t>
      </w:r>
      <w:r w:rsidR="00D82997">
        <w:rPr>
          <w:szCs w:val="18"/>
        </w:rPr>
        <w:t>Trustee</w:t>
      </w:r>
      <w:r w:rsidRPr="007F0D92">
        <w:rPr>
          <w:szCs w:val="18"/>
        </w:rPr>
        <w:t>s and directors of both entities.</w:t>
      </w:r>
    </w:p>
    <w:p w14:paraId="7DFBEBF2" w14:textId="77777777" w:rsidR="002B2B56" w:rsidRPr="007F0D92" w:rsidRDefault="002B2B56" w:rsidP="00C74404">
      <w:pPr>
        <w:pStyle w:val="TableParagraph"/>
        <w:rPr>
          <w:szCs w:val="18"/>
        </w:rPr>
      </w:pPr>
    </w:p>
    <w:p w14:paraId="56714BF3" w14:textId="254DBCBD" w:rsidR="007F0D92" w:rsidRPr="007F0D92" w:rsidRDefault="002B2B56" w:rsidP="007F0D92">
      <w:pPr>
        <w:pStyle w:val="TableParagraph"/>
        <w:rPr>
          <w:szCs w:val="18"/>
        </w:rPr>
      </w:pPr>
      <w:r w:rsidRPr="007F0D92">
        <w:rPr>
          <w:szCs w:val="18"/>
        </w:rPr>
        <w:t>All activities have been consolidated on a line-by-line basis in the statement of financial activities. Available profits are distributed to the charitable company. A summary of the results of the subsidiary is shown below:</w:t>
      </w:r>
    </w:p>
    <w:tbl>
      <w:tblPr>
        <w:tblStyle w:val="PlainTable4"/>
        <w:tblW w:w="9020" w:type="dxa"/>
        <w:tblCellMar>
          <w:top w:w="28" w:type="dxa"/>
          <w:bottom w:w="28" w:type="dxa"/>
        </w:tblCellMar>
        <w:tblLook w:val="04A0" w:firstRow="1" w:lastRow="0" w:firstColumn="1" w:lastColumn="0" w:noHBand="0" w:noVBand="1"/>
      </w:tblPr>
      <w:tblGrid>
        <w:gridCol w:w="5202"/>
        <w:gridCol w:w="1909"/>
        <w:gridCol w:w="1909"/>
      </w:tblGrid>
      <w:tr w:rsidR="007F0D92" w:rsidRPr="00750113" w14:paraId="07EAF353" w14:textId="445F2342" w:rsidTr="0075011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02" w:type="dxa"/>
            <w:hideMark/>
          </w:tcPr>
          <w:p w14:paraId="6F0AAF10" w14:textId="77777777" w:rsidR="007F0D92" w:rsidRPr="007F0D92" w:rsidRDefault="007F0D92" w:rsidP="007F0D92">
            <w:pPr>
              <w:widowControl/>
              <w:autoSpaceDE/>
              <w:autoSpaceDN/>
              <w:rPr>
                <w:rFonts w:eastAsia="Times New Roman" w:cs="Times New Roman"/>
                <w:sz w:val="18"/>
                <w:szCs w:val="18"/>
                <w:lang w:eastAsia="en-GB"/>
              </w:rPr>
            </w:pPr>
          </w:p>
        </w:tc>
        <w:tc>
          <w:tcPr>
            <w:tcW w:w="1909" w:type="dxa"/>
          </w:tcPr>
          <w:p w14:paraId="7270148E" w14:textId="77777777" w:rsidR="007F0D92" w:rsidRPr="00750113" w:rsidRDefault="007F0D92" w:rsidP="007F0D92">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909" w:type="dxa"/>
          </w:tcPr>
          <w:p w14:paraId="10D86ED3" w14:textId="77777777" w:rsidR="007F0D92" w:rsidRPr="00750113" w:rsidRDefault="007F0D92" w:rsidP="007F0D92">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r>
      <w:tr w:rsidR="007F0D92" w:rsidRPr="00750113" w14:paraId="28417532" w14:textId="5A2051F1" w:rsidTr="0075011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202" w:type="dxa"/>
            <w:vAlign w:val="center"/>
            <w:hideMark/>
          </w:tcPr>
          <w:p w14:paraId="5B856A07" w14:textId="77777777" w:rsidR="007F0D92" w:rsidRPr="007F0D92" w:rsidRDefault="007F0D92" w:rsidP="00750113">
            <w:pPr>
              <w:widowControl/>
              <w:autoSpaceDE/>
              <w:autoSpaceDN/>
              <w:rPr>
                <w:rFonts w:eastAsia="Times New Roman" w:cs="Times New Roman"/>
                <w:b w:val="0"/>
                <w:bCs w:val="0"/>
                <w:sz w:val="18"/>
                <w:szCs w:val="18"/>
                <w:lang w:eastAsia="en-GB"/>
              </w:rPr>
            </w:pPr>
          </w:p>
        </w:tc>
        <w:tc>
          <w:tcPr>
            <w:tcW w:w="1909" w:type="dxa"/>
            <w:vAlign w:val="center"/>
          </w:tcPr>
          <w:p w14:paraId="6BF811E1" w14:textId="77777777" w:rsidR="007F0D92"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750113">
              <w:rPr>
                <w:rFonts w:cs="Calibri"/>
                <w:b/>
                <w:bCs/>
                <w:sz w:val="18"/>
                <w:szCs w:val="18"/>
              </w:rPr>
              <w:t>2021</w:t>
            </w:r>
          </w:p>
          <w:p w14:paraId="11851ACA" w14:textId="26D2DB94" w:rsidR="00750113" w:rsidRPr="00750113" w:rsidRDefault="00750113"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r>
              <w:rPr>
                <w:rFonts w:cs="Calibri"/>
                <w:b/>
                <w:bCs/>
                <w:sz w:val="18"/>
                <w:szCs w:val="18"/>
                <w:lang w:eastAsia="en-GB"/>
              </w:rPr>
              <w:t>£</w:t>
            </w:r>
          </w:p>
        </w:tc>
        <w:tc>
          <w:tcPr>
            <w:tcW w:w="1909" w:type="dxa"/>
            <w:vAlign w:val="center"/>
          </w:tcPr>
          <w:p w14:paraId="30E34682" w14:textId="77777777" w:rsidR="007F0D92"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Calibri"/>
                <w:sz w:val="18"/>
                <w:szCs w:val="18"/>
              </w:rPr>
            </w:pPr>
            <w:r w:rsidRPr="00750113">
              <w:rPr>
                <w:rFonts w:cs="Calibri"/>
                <w:sz w:val="18"/>
                <w:szCs w:val="18"/>
              </w:rPr>
              <w:t>2020</w:t>
            </w:r>
          </w:p>
          <w:p w14:paraId="24F47AB8" w14:textId="1A14A6BF" w:rsidR="00750113" w:rsidRPr="00750113" w:rsidRDefault="00750113"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r>
              <w:rPr>
                <w:rFonts w:cs="Calibri"/>
                <w:sz w:val="18"/>
                <w:szCs w:val="18"/>
                <w:lang w:eastAsia="en-GB"/>
              </w:rPr>
              <w:t>£</w:t>
            </w:r>
          </w:p>
        </w:tc>
      </w:tr>
      <w:tr w:rsidR="007F0D92" w:rsidRPr="00750113" w14:paraId="2969D0CE" w14:textId="42A2ADFA"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0DC06831" w14:textId="42A92AAA"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Turnover</w:t>
            </w:r>
          </w:p>
        </w:tc>
        <w:tc>
          <w:tcPr>
            <w:tcW w:w="1909" w:type="dxa"/>
            <w:vAlign w:val="center"/>
          </w:tcPr>
          <w:p w14:paraId="378E25C0" w14:textId="350E968C"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645,341</w:t>
            </w:r>
          </w:p>
        </w:tc>
        <w:tc>
          <w:tcPr>
            <w:tcW w:w="1909" w:type="dxa"/>
            <w:vAlign w:val="center"/>
          </w:tcPr>
          <w:p w14:paraId="75F9344C" w14:textId="2E432C7F"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750113">
              <w:rPr>
                <w:rFonts w:cs="Calibri"/>
                <w:sz w:val="18"/>
                <w:szCs w:val="18"/>
              </w:rPr>
              <w:t>1,035,402</w:t>
            </w:r>
          </w:p>
        </w:tc>
      </w:tr>
      <w:tr w:rsidR="007F0D92" w:rsidRPr="00750113" w14:paraId="48CC343A" w14:textId="74584616"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5B7C40BB" w14:textId="286BB8BC"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Cost of sales</w:t>
            </w:r>
          </w:p>
        </w:tc>
        <w:tc>
          <w:tcPr>
            <w:tcW w:w="1909" w:type="dxa"/>
            <w:tcBorders>
              <w:bottom w:val="single" w:sz="4" w:space="0" w:color="auto"/>
            </w:tcBorders>
            <w:vAlign w:val="center"/>
          </w:tcPr>
          <w:p w14:paraId="512469E6" w14:textId="0BB23D6C"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(754,519)</w:t>
            </w:r>
          </w:p>
        </w:tc>
        <w:tc>
          <w:tcPr>
            <w:tcW w:w="1909" w:type="dxa"/>
            <w:tcBorders>
              <w:bottom w:val="single" w:sz="4" w:space="0" w:color="auto"/>
            </w:tcBorders>
            <w:vAlign w:val="center"/>
          </w:tcPr>
          <w:p w14:paraId="7985AB35" w14:textId="6C02788C"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(872,697)</w:t>
            </w:r>
          </w:p>
        </w:tc>
      </w:tr>
      <w:tr w:rsidR="007F0D92" w:rsidRPr="00750113" w14:paraId="5D5F997C" w14:textId="1805FBC7"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5CFC7D4B" w14:textId="77777777" w:rsidR="007F0D92" w:rsidRPr="007F0D92" w:rsidRDefault="007F0D92" w:rsidP="00750113">
            <w:pPr>
              <w:widowControl/>
              <w:autoSpaceDE/>
              <w:autoSpaceDN/>
              <w:rPr>
                <w:rFonts w:eastAsia="Times New Roman" w:cs="Times New Roman"/>
                <w:b w:val="0"/>
                <w:bCs w:val="0"/>
                <w:sz w:val="18"/>
                <w:szCs w:val="18"/>
                <w:lang w:eastAsia="en-GB"/>
              </w:rPr>
            </w:pPr>
          </w:p>
        </w:tc>
        <w:tc>
          <w:tcPr>
            <w:tcW w:w="1909" w:type="dxa"/>
            <w:tcBorders>
              <w:top w:val="single" w:sz="4" w:space="0" w:color="auto"/>
            </w:tcBorders>
            <w:vAlign w:val="center"/>
          </w:tcPr>
          <w:p w14:paraId="7011AAFD" w14:textId="4FEB136D"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sz w:val="18"/>
                <w:szCs w:val="18"/>
              </w:rPr>
              <w:t> </w:t>
            </w:r>
          </w:p>
        </w:tc>
        <w:tc>
          <w:tcPr>
            <w:tcW w:w="1909" w:type="dxa"/>
            <w:tcBorders>
              <w:top w:val="single" w:sz="4" w:space="0" w:color="auto"/>
            </w:tcBorders>
            <w:vAlign w:val="center"/>
          </w:tcPr>
          <w:p w14:paraId="3898CDF2" w14:textId="26EA4453"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sz w:val="18"/>
                <w:szCs w:val="18"/>
              </w:rPr>
              <w:t> </w:t>
            </w:r>
          </w:p>
        </w:tc>
      </w:tr>
      <w:tr w:rsidR="007F0D92" w:rsidRPr="00750113" w14:paraId="2C91ECC0" w14:textId="4CEAEF94"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3D4C20C5" w14:textId="479ABA05"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Gross profit</w:t>
            </w:r>
          </w:p>
        </w:tc>
        <w:tc>
          <w:tcPr>
            <w:tcW w:w="1909" w:type="dxa"/>
            <w:vAlign w:val="center"/>
          </w:tcPr>
          <w:p w14:paraId="5ECF3C23" w14:textId="08552979"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(109,178)</w:t>
            </w:r>
          </w:p>
        </w:tc>
        <w:tc>
          <w:tcPr>
            <w:tcW w:w="1909" w:type="dxa"/>
            <w:vAlign w:val="center"/>
          </w:tcPr>
          <w:p w14:paraId="6BF5D283" w14:textId="6FB28998"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162,705</w:t>
            </w:r>
          </w:p>
        </w:tc>
      </w:tr>
      <w:tr w:rsidR="007F0D92" w:rsidRPr="00750113" w14:paraId="7220DEC1" w14:textId="5099CBF2"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75344AA7" w14:textId="372ED5B9" w:rsidR="007F0D92" w:rsidRPr="007F0D92" w:rsidRDefault="007F0D92" w:rsidP="00750113">
            <w:pPr>
              <w:widowControl/>
              <w:autoSpaceDE/>
              <w:autoSpaceDN/>
              <w:rPr>
                <w:rFonts w:eastAsia="Times New Roman" w:cs="Calibri"/>
                <w:b w:val="0"/>
                <w:bCs w:val="0"/>
                <w:sz w:val="18"/>
                <w:szCs w:val="18"/>
                <w:lang w:eastAsia="en-GB"/>
              </w:rPr>
            </w:pPr>
          </w:p>
        </w:tc>
        <w:tc>
          <w:tcPr>
            <w:tcW w:w="1909" w:type="dxa"/>
            <w:vAlign w:val="center"/>
          </w:tcPr>
          <w:p w14:paraId="58BEF9C9"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909" w:type="dxa"/>
            <w:vAlign w:val="center"/>
          </w:tcPr>
          <w:p w14:paraId="3731F388"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r>
      <w:tr w:rsidR="007F0D92" w:rsidRPr="00750113" w14:paraId="2FD72FCD" w14:textId="12588279"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720E7624" w14:textId="15DF34BA"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Administrative expenses</w:t>
            </w:r>
          </w:p>
        </w:tc>
        <w:tc>
          <w:tcPr>
            <w:tcW w:w="1909" w:type="dxa"/>
            <w:tcBorders>
              <w:bottom w:val="single" w:sz="4" w:space="0" w:color="auto"/>
            </w:tcBorders>
            <w:vAlign w:val="center"/>
          </w:tcPr>
          <w:p w14:paraId="4EB95313" w14:textId="4624B783"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(56,027)</w:t>
            </w:r>
          </w:p>
        </w:tc>
        <w:tc>
          <w:tcPr>
            <w:tcW w:w="1909" w:type="dxa"/>
            <w:tcBorders>
              <w:bottom w:val="single" w:sz="4" w:space="0" w:color="auto"/>
            </w:tcBorders>
            <w:vAlign w:val="center"/>
          </w:tcPr>
          <w:p w14:paraId="68921C2B" w14:textId="7CCB6181"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(37,885)</w:t>
            </w:r>
          </w:p>
        </w:tc>
      </w:tr>
      <w:tr w:rsidR="007F0D92" w:rsidRPr="00750113" w14:paraId="6DBBDCB3" w14:textId="484F9103"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6D519486" w14:textId="77777777" w:rsidR="007F0D92" w:rsidRPr="007F0D92" w:rsidRDefault="007F0D92" w:rsidP="00750113">
            <w:pPr>
              <w:widowControl/>
              <w:autoSpaceDE/>
              <w:autoSpaceDN/>
              <w:rPr>
                <w:rFonts w:eastAsia="Times New Roman" w:cs="Times New Roman"/>
                <w:b w:val="0"/>
                <w:bCs w:val="0"/>
                <w:sz w:val="18"/>
                <w:szCs w:val="18"/>
                <w:lang w:eastAsia="en-GB"/>
              </w:rPr>
            </w:pPr>
          </w:p>
        </w:tc>
        <w:tc>
          <w:tcPr>
            <w:tcW w:w="1909" w:type="dxa"/>
            <w:tcBorders>
              <w:top w:val="single" w:sz="4" w:space="0" w:color="auto"/>
            </w:tcBorders>
            <w:vAlign w:val="center"/>
          </w:tcPr>
          <w:p w14:paraId="53A1D93A" w14:textId="09A0EB0B"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b/>
                <w:bCs/>
                <w:sz w:val="18"/>
                <w:szCs w:val="18"/>
              </w:rPr>
              <w:t> </w:t>
            </w:r>
          </w:p>
        </w:tc>
        <w:tc>
          <w:tcPr>
            <w:tcW w:w="1909" w:type="dxa"/>
            <w:tcBorders>
              <w:top w:val="single" w:sz="4" w:space="0" w:color="auto"/>
            </w:tcBorders>
            <w:vAlign w:val="center"/>
          </w:tcPr>
          <w:p w14:paraId="2F7AEF71" w14:textId="4034B07A"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sz w:val="18"/>
                <w:szCs w:val="18"/>
              </w:rPr>
              <w:t> </w:t>
            </w:r>
          </w:p>
        </w:tc>
      </w:tr>
      <w:tr w:rsidR="007F0D92" w:rsidRPr="00750113" w14:paraId="4F1D3F52" w14:textId="304430DD"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1B52B603" w14:textId="2EF66E0E"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 xml:space="preserve">(Loss) / profit on ordinary activities before interest and taxation </w:t>
            </w:r>
          </w:p>
        </w:tc>
        <w:tc>
          <w:tcPr>
            <w:tcW w:w="1909" w:type="dxa"/>
            <w:vAlign w:val="center"/>
          </w:tcPr>
          <w:p w14:paraId="33CE3A3B" w14:textId="7D65BF49"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(165,205)</w:t>
            </w:r>
          </w:p>
        </w:tc>
        <w:tc>
          <w:tcPr>
            <w:tcW w:w="1909" w:type="dxa"/>
            <w:vAlign w:val="center"/>
          </w:tcPr>
          <w:p w14:paraId="43135458" w14:textId="33972240"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124,820</w:t>
            </w:r>
          </w:p>
        </w:tc>
      </w:tr>
      <w:tr w:rsidR="007F0D92" w:rsidRPr="00750113" w14:paraId="655C7B60" w14:textId="57978770"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30130967" w14:textId="51C974D7" w:rsidR="007F0D92" w:rsidRPr="007F0D92" w:rsidRDefault="007F0D92" w:rsidP="00750113">
            <w:pPr>
              <w:widowControl/>
              <w:autoSpaceDE/>
              <w:autoSpaceDN/>
              <w:rPr>
                <w:rFonts w:eastAsia="Times New Roman" w:cs="Calibri"/>
                <w:b w:val="0"/>
                <w:bCs w:val="0"/>
                <w:sz w:val="18"/>
                <w:szCs w:val="18"/>
                <w:lang w:eastAsia="en-GB"/>
              </w:rPr>
            </w:pPr>
          </w:p>
        </w:tc>
        <w:tc>
          <w:tcPr>
            <w:tcW w:w="1909" w:type="dxa"/>
            <w:vAlign w:val="center"/>
          </w:tcPr>
          <w:p w14:paraId="5A786E94"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909" w:type="dxa"/>
            <w:vAlign w:val="center"/>
          </w:tcPr>
          <w:p w14:paraId="6B33BADD"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r>
      <w:tr w:rsidR="007F0D92" w:rsidRPr="00750113" w14:paraId="2074BC40" w14:textId="3A948EB2"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27F5EC3E" w14:textId="3EE8E88D"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 xml:space="preserve">Interest receivable </w:t>
            </w:r>
          </w:p>
        </w:tc>
        <w:tc>
          <w:tcPr>
            <w:tcW w:w="1909" w:type="dxa"/>
            <w:tcBorders>
              <w:bottom w:val="single" w:sz="4" w:space="0" w:color="auto"/>
            </w:tcBorders>
            <w:vAlign w:val="center"/>
          </w:tcPr>
          <w:p w14:paraId="312FAC81" w14:textId="43685FDC"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93</w:t>
            </w:r>
          </w:p>
        </w:tc>
        <w:tc>
          <w:tcPr>
            <w:tcW w:w="1909" w:type="dxa"/>
            <w:tcBorders>
              <w:bottom w:val="single" w:sz="4" w:space="0" w:color="auto"/>
            </w:tcBorders>
            <w:vAlign w:val="center"/>
          </w:tcPr>
          <w:p w14:paraId="70331768" w14:textId="37378BC4"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127</w:t>
            </w:r>
          </w:p>
        </w:tc>
      </w:tr>
      <w:tr w:rsidR="007F0D92" w:rsidRPr="00750113" w14:paraId="310CFF98" w14:textId="7315DB54"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39669FCB" w14:textId="77777777" w:rsidR="007F0D92" w:rsidRPr="007F0D92" w:rsidRDefault="007F0D92" w:rsidP="00750113">
            <w:pPr>
              <w:widowControl/>
              <w:autoSpaceDE/>
              <w:autoSpaceDN/>
              <w:rPr>
                <w:rFonts w:eastAsia="Times New Roman" w:cs="Times New Roman"/>
                <w:b w:val="0"/>
                <w:bCs w:val="0"/>
                <w:sz w:val="18"/>
                <w:szCs w:val="18"/>
                <w:lang w:eastAsia="en-GB"/>
              </w:rPr>
            </w:pPr>
          </w:p>
        </w:tc>
        <w:tc>
          <w:tcPr>
            <w:tcW w:w="1909" w:type="dxa"/>
            <w:tcBorders>
              <w:top w:val="single" w:sz="4" w:space="0" w:color="auto"/>
            </w:tcBorders>
            <w:vAlign w:val="center"/>
          </w:tcPr>
          <w:p w14:paraId="5D705718" w14:textId="16325D02"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sz w:val="18"/>
                <w:szCs w:val="18"/>
              </w:rPr>
              <w:t> </w:t>
            </w:r>
          </w:p>
        </w:tc>
        <w:tc>
          <w:tcPr>
            <w:tcW w:w="1909" w:type="dxa"/>
            <w:tcBorders>
              <w:top w:val="single" w:sz="4" w:space="0" w:color="auto"/>
            </w:tcBorders>
            <w:vAlign w:val="center"/>
          </w:tcPr>
          <w:p w14:paraId="288C0ABF" w14:textId="4E167B2D"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sz w:val="18"/>
                <w:szCs w:val="18"/>
              </w:rPr>
              <w:t> </w:t>
            </w:r>
          </w:p>
        </w:tc>
      </w:tr>
      <w:tr w:rsidR="007F0D92" w:rsidRPr="00750113" w14:paraId="3CC7B6E1" w14:textId="1FFF5917"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09FFFE34" w14:textId="082E3E6B"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Profit on ordinary activities</w:t>
            </w:r>
          </w:p>
        </w:tc>
        <w:tc>
          <w:tcPr>
            <w:tcW w:w="1909" w:type="dxa"/>
            <w:vAlign w:val="center"/>
          </w:tcPr>
          <w:p w14:paraId="0A603D0E" w14:textId="2526C04A"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(165,111)</w:t>
            </w:r>
          </w:p>
        </w:tc>
        <w:tc>
          <w:tcPr>
            <w:tcW w:w="1909" w:type="dxa"/>
            <w:vAlign w:val="center"/>
          </w:tcPr>
          <w:p w14:paraId="22099548" w14:textId="0A5F89C6"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124,946</w:t>
            </w:r>
          </w:p>
        </w:tc>
      </w:tr>
      <w:tr w:rsidR="007F0D92" w:rsidRPr="00750113" w14:paraId="5946AC5C" w14:textId="64B0C166"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54BFB319" w14:textId="29145485" w:rsidR="007F0D92" w:rsidRPr="007F0D92" w:rsidRDefault="007F0D92" w:rsidP="00750113">
            <w:pPr>
              <w:widowControl/>
              <w:autoSpaceDE/>
              <w:autoSpaceDN/>
              <w:rPr>
                <w:rFonts w:eastAsia="Times New Roman" w:cs="Calibri"/>
                <w:b w:val="0"/>
                <w:bCs w:val="0"/>
                <w:sz w:val="18"/>
                <w:szCs w:val="18"/>
                <w:lang w:eastAsia="en-GB"/>
              </w:rPr>
            </w:pPr>
          </w:p>
        </w:tc>
        <w:tc>
          <w:tcPr>
            <w:tcW w:w="1909" w:type="dxa"/>
            <w:vAlign w:val="center"/>
          </w:tcPr>
          <w:p w14:paraId="59323229"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909" w:type="dxa"/>
            <w:vAlign w:val="center"/>
          </w:tcPr>
          <w:p w14:paraId="6BF84284"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r>
      <w:tr w:rsidR="007F0D92" w:rsidRPr="00750113" w14:paraId="01160306" w14:textId="2E1CA157"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074F1CF1" w14:textId="711D5680"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Distribution to parent</w:t>
            </w:r>
          </w:p>
        </w:tc>
        <w:tc>
          <w:tcPr>
            <w:tcW w:w="1909" w:type="dxa"/>
            <w:tcBorders>
              <w:bottom w:val="single" w:sz="4" w:space="0" w:color="auto"/>
            </w:tcBorders>
            <w:vAlign w:val="center"/>
          </w:tcPr>
          <w:p w14:paraId="2C12F80F" w14:textId="5AAB90F3"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w:t>
            </w:r>
          </w:p>
        </w:tc>
        <w:tc>
          <w:tcPr>
            <w:tcW w:w="1909" w:type="dxa"/>
            <w:tcBorders>
              <w:bottom w:val="single" w:sz="4" w:space="0" w:color="auto"/>
            </w:tcBorders>
            <w:vAlign w:val="center"/>
          </w:tcPr>
          <w:p w14:paraId="1B6642ED" w14:textId="26A02884"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w:t>
            </w:r>
          </w:p>
        </w:tc>
      </w:tr>
      <w:tr w:rsidR="007F0D92" w:rsidRPr="00750113" w14:paraId="4D2079A0" w14:textId="3D223A0A"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447EBCDE" w14:textId="77777777" w:rsidR="007F0D92" w:rsidRPr="007F0D92" w:rsidRDefault="007F0D92" w:rsidP="00750113">
            <w:pPr>
              <w:widowControl/>
              <w:autoSpaceDE/>
              <w:autoSpaceDN/>
              <w:rPr>
                <w:rFonts w:eastAsia="Times New Roman" w:cs="Times New Roman"/>
                <w:b w:val="0"/>
                <w:bCs w:val="0"/>
                <w:sz w:val="18"/>
                <w:szCs w:val="18"/>
                <w:lang w:eastAsia="en-GB"/>
              </w:rPr>
            </w:pPr>
          </w:p>
        </w:tc>
        <w:tc>
          <w:tcPr>
            <w:tcW w:w="1909" w:type="dxa"/>
            <w:tcBorders>
              <w:top w:val="single" w:sz="4" w:space="0" w:color="auto"/>
            </w:tcBorders>
            <w:vAlign w:val="center"/>
          </w:tcPr>
          <w:p w14:paraId="5071FF20" w14:textId="02E4B1B8"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sz w:val="18"/>
                <w:szCs w:val="18"/>
              </w:rPr>
              <w:t> </w:t>
            </w:r>
          </w:p>
        </w:tc>
        <w:tc>
          <w:tcPr>
            <w:tcW w:w="1909" w:type="dxa"/>
            <w:tcBorders>
              <w:top w:val="single" w:sz="4" w:space="0" w:color="auto"/>
            </w:tcBorders>
            <w:vAlign w:val="center"/>
          </w:tcPr>
          <w:p w14:paraId="65197775" w14:textId="36448D2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sz w:val="18"/>
                <w:szCs w:val="18"/>
              </w:rPr>
              <w:t> </w:t>
            </w:r>
          </w:p>
        </w:tc>
      </w:tr>
      <w:tr w:rsidR="007F0D92" w:rsidRPr="00750113" w14:paraId="1C496950" w14:textId="7C0FFD67"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noWrap/>
            <w:vAlign w:val="center"/>
          </w:tcPr>
          <w:p w14:paraId="4E548A45" w14:textId="0D8C5F38"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(Loss) / profit before taxation</w:t>
            </w:r>
          </w:p>
        </w:tc>
        <w:tc>
          <w:tcPr>
            <w:tcW w:w="1909" w:type="dxa"/>
            <w:vAlign w:val="center"/>
          </w:tcPr>
          <w:p w14:paraId="1CFF9770" w14:textId="1A82817D"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(165,111)</w:t>
            </w:r>
          </w:p>
        </w:tc>
        <w:tc>
          <w:tcPr>
            <w:tcW w:w="1909" w:type="dxa"/>
            <w:vAlign w:val="center"/>
          </w:tcPr>
          <w:p w14:paraId="0C795687" w14:textId="21A2A3BD"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124,946</w:t>
            </w:r>
          </w:p>
        </w:tc>
      </w:tr>
      <w:tr w:rsidR="007F0D92" w:rsidRPr="00750113" w14:paraId="5CF19A56" w14:textId="25F92122"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noWrap/>
            <w:vAlign w:val="center"/>
          </w:tcPr>
          <w:p w14:paraId="4759D949" w14:textId="3E725C92" w:rsidR="007F0D92" w:rsidRPr="007F0D92" w:rsidRDefault="007F0D92" w:rsidP="00750113">
            <w:pPr>
              <w:widowControl/>
              <w:autoSpaceDE/>
              <w:autoSpaceDN/>
              <w:rPr>
                <w:rFonts w:eastAsia="Times New Roman" w:cs="Calibri"/>
                <w:b w:val="0"/>
                <w:bCs w:val="0"/>
                <w:sz w:val="18"/>
                <w:szCs w:val="18"/>
                <w:lang w:eastAsia="en-GB"/>
              </w:rPr>
            </w:pPr>
          </w:p>
        </w:tc>
        <w:tc>
          <w:tcPr>
            <w:tcW w:w="1909" w:type="dxa"/>
            <w:vAlign w:val="center"/>
          </w:tcPr>
          <w:p w14:paraId="78A1122A"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909" w:type="dxa"/>
            <w:vAlign w:val="center"/>
          </w:tcPr>
          <w:p w14:paraId="6178CFA5"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r>
      <w:tr w:rsidR="007F0D92" w:rsidRPr="00750113" w14:paraId="0767E170" w14:textId="72C2D2EB"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noWrap/>
            <w:vAlign w:val="center"/>
          </w:tcPr>
          <w:p w14:paraId="3BBAC6C2" w14:textId="5D2D9E6A"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Taxation on profit on ordinary activities</w:t>
            </w:r>
          </w:p>
        </w:tc>
        <w:tc>
          <w:tcPr>
            <w:tcW w:w="1909" w:type="dxa"/>
            <w:vAlign w:val="center"/>
          </w:tcPr>
          <w:p w14:paraId="5AD63AB4" w14:textId="1BAE613F"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24,287</w:t>
            </w:r>
          </w:p>
        </w:tc>
        <w:tc>
          <w:tcPr>
            <w:tcW w:w="1909" w:type="dxa"/>
            <w:vAlign w:val="center"/>
          </w:tcPr>
          <w:p w14:paraId="37226361" w14:textId="295BE893"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(24,287)</w:t>
            </w:r>
          </w:p>
        </w:tc>
      </w:tr>
      <w:tr w:rsidR="007F0D92" w:rsidRPr="00750113" w14:paraId="361D0F16" w14:textId="3D4B4A31"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37403AD0" w14:textId="44562D2C" w:rsidR="007F0D92" w:rsidRPr="007F0D92" w:rsidRDefault="007F0D92" w:rsidP="00750113">
            <w:pPr>
              <w:widowControl/>
              <w:autoSpaceDE/>
              <w:autoSpaceDN/>
              <w:rPr>
                <w:rFonts w:eastAsia="Times New Roman" w:cs="Calibri"/>
                <w:b w:val="0"/>
                <w:bCs w:val="0"/>
                <w:sz w:val="18"/>
                <w:szCs w:val="18"/>
                <w:lang w:eastAsia="en-GB"/>
              </w:rPr>
            </w:pPr>
          </w:p>
        </w:tc>
        <w:tc>
          <w:tcPr>
            <w:tcW w:w="1909" w:type="dxa"/>
            <w:tcBorders>
              <w:bottom w:val="single" w:sz="4" w:space="0" w:color="auto"/>
            </w:tcBorders>
            <w:vAlign w:val="center"/>
          </w:tcPr>
          <w:p w14:paraId="22F33976"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909" w:type="dxa"/>
            <w:tcBorders>
              <w:bottom w:val="single" w:sz="4" w:space="0" w:color="auto"/>
            </w:tcBorders>
            <w:vAlign w:val="center"/>
          </w:tcPr>
          <w:p w14:paraId="0C6A1E5C"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r>
      <w:tr w:rsidR="007F0D92" w:rsidRPr="00750113" w14:paraId="75440DE1" w14:textId="5E1B59C1"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noWrap/>
            <w:vAlign w:val="center"/>
          </w:tcPr>
          <w:p w14:paraId="13D88A73" w14:textId="3A2335C1"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(Loss) / profit for the financial year</w:t>
            </w:r>
          </w:p>
        </w:tc>
        <w:tc>
          <w:tcPr>
            <w:tcW w:w="1909" w:type="dxa"/>
            <w:tcBorders>
              <w:top w:val="single" w:sz="4" w:space="0" w:color="auto"/>
              <w:bottom w:val="double" w:sz="4" w:space="0" w:color="auto"/>
            </w:tcBorders>
            <w:vAlign w:val="center"/>
          </w:tcPr>
          <w:p w14:paraId="03545EC5" w14:textId="0BD56749"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(140,824)</w:t>
            </w:r>
          </w:p>
        </w:tc>
        <w:tc>
          <w:tcPr>
            <w:tcW w:w="1909" w:type="dxa"/>
            <w:tcBorders>
              <w:top w:val="single" w:sz="4" w:space="0" w:color="auto"/>
              <w:bottom w:val="double" w:sz="4" w:space="0" w:color="auto"/>
            </w:tcBorders>
            <w:vAlign w:val="center"/>
          </w:tcPr>
          <w:p w14:paraId="5A4F3301" w14:textId="0FBB7FA6"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100,659</w:t>
            </w:r>
          </w:p>
        </w:tc>
      </w:tr>
      <w:tr w:rsidR="007F0D92" w:rsidRPr="00750113" w14:paraId="6B2178E7" w14:textId="2B648ACD"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noWrap/>
            <w:vAlign w:val="center"/>
          </w:tcPr>
          <w:p w14:paraId="4ED5621B" w14:textId="390FCC8C" w:rsidR="007F0D92" w:rsidRPr="007F0D92" w:rsidRDefault="007F0D92" w:rsidP="00750113">
            <w:pPr>
              <w:widowControl/>
              <w:autoSpaceDE/>
              <w:autoSpaceDN/>
              <w:rPr>
                <w:rFonts w:eastAsia="Times New Roman" w:cs="Calibri"/>
                <w:b w:val="0"/>
                <w:bCs w:val="0"/>
                <w:sz w:val="18"/>
                <w:szCs w:val="18"/>
                <w:lang w:eastAsia="en-GB"/>
              </w:rPr>
            </w:pPr>
          </w:p>
        </w:tc>
        <w:tc>
          <w:tcPr>
            <w:tcW w:w="1909" w:type="dxa"/>
            <w:tcBorders>
              <w:top w:val="double" w:sz="4" w:space="0" w:color="auto"/>
            </w:tcBorders>
            <w:vAlign w:val="center"/>
          </w:tcPr>
          <w:p w14:paraId="477ECF29"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c>
          <w:tcPr>
            <w:tcW w:w="1909" w:type="dxa"/>
            <w:tcBorders>
              <w:top w:val="double" w:sz="4" w:space="0" w:color="auto"/>
            </w:tcBorders>
            <w:vAlign w:val="center"/>
          </w:tcPr>
          <w:p w14:paraId="4B2DA15B" w14:textId="77777777"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p>
        </w:tc>
      </w:tr>
      <w:tr w:rsidR="007F0D92" w:rsidRPr="00750113" w14:paraId="64781A0C" w14:textId="3093F374"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7E28209D" w14:textId="73D20081"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The aggregate of the assets, liabilities and funds was:</w:t>
            </w:r>
          </w:p>
        </w:tc>
        <w:tc>
          <w:tcPr>
            <w:tcW w:w="1909" w:type="dxa"/>
            <w:vAlign w:val="center"/>
          </w:tcPr>
          <w:p w14:paraId="754F0928" w14:textId="77777777"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p>
        </w:tc>
        <w:tc>
          <w:tcPr>
            <w:tcW w:w="1909" w:type="dxa"/>
            <w:vAlign w:val="center"/>
          </w:tcPr>
          <w:p w14:paraId="36EF8959" w14:textId="77777777"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p>
        </w:tc>
      </w:tr>
      <w:tr w:rsidR="007F0D92" w:rsidRPr="00750113" w14:paraId="144077E3" w14:textId="1E74FDDD"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6E8C37AA" w14:textId="5A6A5B6F"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Assets</w:t>
            </w:r>
          </w:p>
        </w:tc>
        <w:tc>
          <w:tcPr>
            <w:tcW w:w="1909" w:type="dxa"/>
            <w:vAlign w:val="center"/>
          </w:tcPr>
          <w:p w14:paraId="6B7F772F" w14:textId="14E8143E"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229,529</w:t>
            </w:r>
          </w:p>
        </w:tc>
        <w:tc>
          <w:tcPr>
            <w:tcW w:w="1909" w:type="dxa"/>
            <w:vAlign w:val="center"/>
          </w:tcPr>
          <w:p w14:paraId="093BDBA8" w14:textId="11E23C3F"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750113">
              <w:rPr>
                <w:rFonts w:cs="Calibri"/>
                <w:sz w:val="18"/>
                <w:szCs w:val="18"/>
              </w:rPr>
              <w:t>448,183</w:t>
            </w:r>
          </w:p>
        </w:tc>
      </w:tr>
      <w:tr w:rsidR="007F0D92" w:rsidRPr="00750113" w14:paraId="3113E180" w14:textId="586683BD"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0843EE26" w14:textId="3D4293DB"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Liabilities</w:t>
            </w:r>
          </w:p>
        </w:tc>
        <w:tc>
          <w:tcPr>
            <w:tcW w:w="1909" w:type="dxa"/>
            <w:vAlign w:val="center"/>
          </w:tcPr>
          <w:p w14:paraId="333F0294" w14:textId="265D5542"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(258,651)</w:t>
            </w:r>
          </w:p>
        </w:tc>
        <w:tc>
          <w:tcPr>
            <w:tcW w:w="1909" w:type="dxa"/>
            <w:vAlign w:val="center"/>
          </w:tcPr>
          <w:p w14:paraId="6FD8BCFA" w14:textId="1378CE49"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(336,480)</w:t>
            </w:r>
          </w:p>
        </w:tc>
      </w:tr>
      <w:tr w:rsidR="007F0D92" w:rsidRPr="00750113" w14:paraId="4ADC3554" w14:textId="68D6C26C" w:rsidTr="00CA5D7B">
        <w:trPr>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62BEC018" w14:textId="77777777" w:rsidR="007F0D92" w:rsidRPr="007F0D92" w:rsidRDefault="007F0D92" w:rsidP="00750113">
            <w:pPr>
              <w:widowControl/>
              <w:autoSpaceDE/>
              <w:autoSpaceDN/>
              <w:rPr>
                <w:rFonts w:eastAsia="Times New Roman" w:cs="Times New Roman"/>
                <w:b w:val="0"/>
                <w:bCs w:val="0"/>
                <w:sz w:val="18"/>
                <w:szCs w:val="18"/>
                <w:lang w:eastAsia="en-GB"/>
              </w:rPr>
            </w:pPr>
          </w:p>
        </w:tc>
        <w:tc>
          <w:tcPr>
            <w:tcW w:w="1909" w:type="dxa"/>
            <w:tcBorders>
              <w:bottom w:val="single" w:sz="4" w:space="0" w:color="auto"/>
            </w:tcBorders>
            <w:vAlign w:val="center"/>
          </w:tcPr>
          <w:p w14:paraId="68924C36" w14:textId="659C8A6F"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b/>
                <w:bCs/>
                <w:sz w:val="18"/>
                <w:szCs w:val="18"/>
              </w:rPr>
              <w:t> </w:t>
            </w:r>
          </w:p>
        </w:tc>
        <w:tc>
          <w:tcPr>
            <w:tcW w:w="1909" w:type="dxa"/>
            <w:tcBorders>
              <w:bottom w:val="single" w:sz="4" w:space="0" w:color="auto"/>
            </w:tcBorders>
            <w:vAlign w:val="center"/>
          </w:tcPr>
          <w:p w14:paraId="11ED8FF7" w14:textId="1F97CC92" w:rsidR="007F0D92" w:rsidRPr="00750113" w:rsidRDefault="007F0D92" w:rsidP="00CA5D7B">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750113">
              <w:rPr>
                <w:rFonts w:cs="Calibri"/>
                <w:sz w:val="18"/>
                <w:szCs w:val="18"/>
              </w:rPr>
              <w:t> </w:t>
            </w:r>
          </w:p>
        </w:tc>
      </w:tr>
      <w:tr w:rsidR="007F0D92" w:rsidRPr="00750113" w14:paraId="21EA201C" w14:textId="61B8AB54" w:rsidTr="00CA5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7CF6C4D5" w14:textId="3E2F0CEE" w:rsidR="007F0D92" w:rsidRPr="007F0D92" w:rsidRDefault="007F0D92" w:rsidP="00750113">
            <w:pPr>
              <w:widowControl/>
              <w:autoSpaceDE/>
              <w:autoSpaceDN/>
              <w:rPr>
                <w:rFonts w:eastAsia="Times New Roman" w:cs="Calibri"/>
                <w:b w:val="0"/>
                <w:bCs w:val="0"/>
                <w:sz w:val="18"/>
                <w:szCs w:val="18"/>
                <w:lang w:eastAsia="en-GB"/>
              </w:rPr>
            </w:pPr>
            <w:r w:rsidRPr="00750113">
              <w:rPr>
                <w:rFonts w:cs="Calibri"/>
                <w:b w:val="0"/>
                <w:bCs w:val="0"/>
                <w:sz w:val="18"/>
                <w:szCs w:val="18"/>
              </w:rPr>
              <w:t>Funds</w:t>
            </w:r>
          </w:p>
        </w:tc>
        <w:tc>
          <w:tcPr>
            <w:tcW w:w="1909" w:type="dxa"/>
            <w:tcBorders>
              <w:top w:val="single" w:sz="4" w:space="0" w:color="auto"/>
              <w:bottom w:val="double" w:sz="4" w:space="0" w:color="auto"/>
            </w:tcBorders>
            <w:vAlign w:val="center"/>
          </w:tcPr>
          <w:p w14:paraId="6259468E" w14:textId="4177ACC6"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b/>
                <w:bCs/>
                <w:sz w:val="18"/>
                <w:szCs w:val="18"/>
              </w:rPr>
              <w:t>(29,122)</w:t>
            </w:r>
          </w:p>
        </w:tc>
        <w:tc>
          <w:tcPr>
            <w:tcW w:w="1909" w:type="dxa"/>
            <w:tcBorders>
              <w:top w:val="single" w:sz="4" w:space="0" w:color="auto"/>
              <w:bottom w:val="double" w:sz="4" w:space="0" w:color="auto"/>
            </w:tcBorders>
            <w:vAlign w:val="center"/>
          </w:tcPr>
          <w:p w14:paraId="0491A2FD" w14:textId="1D8FC9FE" w:rsidR="007F0D92" w:rsidRPr="00750113" w:rsidRDefault="007F0D92"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750113">
              <w:rPr>
                <w:rFonts w:cs="Calibri"/>
                <w:sz w:val="18"/>
                <w:szCs w:val="18"/>
              </w:rPr>
              <w:t>111,703</w:t>
            </w:r>
          </w:p>
        </w:tc>
      </w:tr>
    </w:tbl>
    <w:p w14:paraId="4499E542" w14:textId="77777777" w:rsidR="00750113" w:rsidRPr="007F0D92" w:rsidRDefault="00750113" w:rsidP="00C74404">
      <w:pPr>
        <w:pStyle w:val="ListNumber"/>
        <w:numPr>
          <w:ilvl w:val="0"/>
          <w:numId w:val="0"/>
        </w:numPr>
        <w:ind w:left="360" w:hanging="360"/>
        <w:rPr>
          <w:sz w:val="18"/>
          <w:szCs w:val="18"/>
        </w:rPr>
      </w:pPr>
    </w:p>
    <w:p w14:paraId="2CCFC180" w14:textId="77777777" w:rsidR="00C74404" w:rsidRPr="007F0D92" w:rsidRDefault="00C74404" w:rsidP="00C74404">
      <w:pPr>
        <w:pStyle w:val="ListNumber"/>
        <w:numPr>
          <w:ilvl w:val="0"/>
          <w:numId w:val="0"/>
        </w:numPr>
        <w:ind w:left="360" w:hanging="360"/>
        <w:rPr>
          <w:sz w:val="18"/>
          <w:szCs w:val="18"/>
        </w:rPr>
      </w:pPr>
    </w:p>
    <w:p w14:paraId="1A551701" w14:textId="65A4B088" w:rsidR="0017512E" w:rsidRPr="007F0D92" w:rsidRDefault="0017512E" w:rsidP="007F0D92">
      <w:pPr>
        <w:pStyle w:val="ListNumber"/>
      </w:pPr>
      <w:r w:rsidRPr="007F0D92">
        <w:t>Parent charity</w:t>
      </w:r>
    </w:p>
    <w:p w14:paraId="2D32DF9D" w14:textId="4A225B15" w:rsidR="00750113" w:rsidRPr="00750113" w:rsidRDefault="00750113" w:rsidP="00750113">
      <w:pPr>
        <w:pStyle w:val="TableParagraph"/>
      </w:pPr>
      <w:r w:rsidRPr="00750113">
        <w:t>The parent charity's gross income and the results for the year are disclosed as follows:</w:t>
      </w:r>
    </w:p>
    <w:tbl>
      <w:tblPr>
        <w:tblStyle w:val="PlainTable4"/>
        <w:tblW w:w="9020" w:type="dxa"/>
        <w:tblCellMar>
          <w:top w:w="28" w:type="dxa"/>
          <w:bottom w:w="28" w:type="dxa"/>
        </w:tblCellMar>
        <w:tblLook w:val="04A0" w:firstRow="1" w:lastRow="0" w:firstColumn="1" w:lastColumn="0" w:noHBand="0" w:noVBand="1"/>
      </w:tblPr>
      <w:tblGrid>
        <w:gridCol w:w="5202"/>
        <w:gridCol w:w="1909"/>
        <w:gridCol w:w="1909"/>
      </w:tblGrid>
      <w:tr w:rsidR="00750113" w:rsidRPr="00750113" w14:paraId="6D01B20F" w14:textId="77777777" w:rsidTr="00EB324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202" w:type="dxa"/>
            <w:hideMark/>
          </w:tcPr>
          <w:p w14:paraId="7B5B2DF9" w14:textId="77777777" w:rsidR="00750113" w:rsidRPr="007F0D92" w:rsidRDefault="00750113" w:rsidP="00EB3246">
            <w:pPr>
              <w:widowControl/>
              <w:autoSpaceDE/>
              <w:autoSpaceDN/>
              <w:rPr>
                <w:rFonts w:eastAsia="Times New Roman" w:cs="Times New Roman"/>
                <w:sz w:val="18"/>
                <w:szCs w:val="18"/>
                <w:lang w:eastAsia="en-GB"/>
              </w:rPr>
            </w:pPr>
          </w:p>
        </w:tc>
        <w:tc>
          <w:tcPr>
            <w:tcW w:w="1909" w:type="dxa"/>
          </w:tcPr>
          <w:p w14:paraId="73FF91FB" w14:textId="77777777" w:rsidR="00750113" w:rsidRPr="003B6E35" w:rsidRDefault="00750113" w:rsidP="00EB324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909" w:type="dxa"/>
          </w:tcPr>
          <w:p w14:paraId="2E903302" w14:textId="77777777" w:rsidR="00750113" w:rsidRPr="003B6E35" w:rsidRDefault="00750113" w:rsidP="00EB3246">
            <w:pPr>
              <w:widowControl/>
              <w:autoSpaceDE/>
              <w:autoSpaceDN/>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r>
      <w:tr w:rsidR="00750113" w:rsidRPr="00750113" w14:paraId="4FC2D39D" w14:textId="77777777" w:rsidTr="00EB3246">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202" w:type="dxa"/>
            <w:vAlign w:val="center"/>
            <w:hideMark/>
          </w:tcPr>
          <w:p w14:paraId="7518DD96" w14:textId="77777777" w:rsidR="00750113" w:rsidRPr="007F0D92" w:rsidRDefault="00750113" w:rsidP="00EB3246">
            <w:pPr>
              <w:widowControl/>
              <w:autoSpaceDE/>
              <w:autoSpaceDN/>
              <w:rPr>
                <w:rFonts w:eastAsia="Times New Roman" w:cs="Times New Roman"/>
                <w:b w:val="0"/>
                <w:bCs w:val="0"/>
                <w:sz w:val="18"/>
                <w:szCs w:val="18"/>
                <w:lang w:eastAsia="en-GB"/>
              </w:rPr>
            </w:pPr>
          </w:p>
        </w:tc>
        <w:tc>
          <w:tcPr>
            <w:tcW w:w="1909" w:type="dxa"/>
            <w:vAlign w:val="center"/>
          </w:tcPr>
          <w:p w14:paraId="55F9B24F" w14:textId="77777777" w:rsidR="00750113" w:rsidRPr="003B6E35" w:rsidRDefault="00750113"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Calibri"/>
                <w:b/>
                <w:bCs/>
                <w:sz w:val="18"/>
                <w:szCs w:val="18"/>
              </w:rPr>
            </w:pPr>
            <w:r w:rsidRPr="003B6E35">
              <w:rPr>
                <w:rFonts w:cs="Calibri"/>
                <w:b/>
                <w:bCs/>
                <w:sz w:val="18"/>
                <w:szCs w:val="18"/>
              </w:rPr>
              <w:t>2021</w:t>
            </w:r>
          </w:p>
          <w:p w14:paraId="673A736A" w14:textId="77777777" w:rsidR="00750113" w:rsidRPr="003B6E35" w:rsidRDefault="00750113"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r w:rsidRPr="003B6E35">
              <w:rPr>
                <w:rFonts w:cs="Calibri"/>
                <w:b/>
                <w:bCs/>
                <w:sz w:val="18"/>
                <w:szCs w:val="18"/>
                <w:lang w:eastAsia="en-GB"/>
              </w:rPr>
              <w:t>£</w:t>
            </w:r>
          </w:p>
        </w:tc>
        <w:tc>
          <w:tcPr>
            <w:tcW w:w="1909" w:type="dxa"/>
            <w:vAlign w:val="center"/>
          </w:tcPr>
          <w:p w14:paraId="486A86DE" w14:textId="77777777" w:rsidR="00750113" w:rsidRPr="003B6E35" w:rsidRDefault="00750113"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cs="Calibri"/>
                <w:sz w:val="18"/>
                <w:szCs w:val="18"/>
              </w:rPr>
            </w:pPr>
            <w:r w:rsidRPr="003B6E35">
              <w:rPr>
                <w:rFonts w:cs="Calibri"/>
                <w:sz w:val="18"/>
                <w:szCs w:val="18"/>
              </w:rPr>
              <w:t>2020</w:t>
            </w:r>
          </w:p>
          <w:p w14:paraId="39C4D8ED" w14:textId="77777777" w:rsidR="00750113" w:rsidRPr="003B6E35" w:rsidRDefault="00750113" w:rsidP="00CA5D7B">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r w:rsidRPr="003B6E35">
              <w:rPr>
                <w:rFonts w:cs="Calibri"/>
                <w:sz w:val="18"/>
                <w:szCs w:val="18"/>
                <w:lang w:eastAsia="en-GB"/>
              </w:rPr>
              <w:t>£</w:t>
            </w:r>
          </w:p>
        </w:tc>
      </w:tr>
      <w:tr w:rsidR="00750113" w:rsidRPr="00750113" w14:paraId="0AFE8196" w14:textId="77777777" w:rsidTr="00CA5D7B">
        <w:trPr>
          <w:trHeight w:val="355"/>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003D0DDF" w14:textId="02919D1F" w:rsidR="00750113" w:rsidRPr="007F0D92" w:rsidRDefault="003B6E35" w:rsidP="00EB3246">
            <w:pPr>
              <w:widowControl/>
              <w:autoSpaceDE/>
              <w:autoSpaceDN/>
              <w:rPr>
                <w:rFonts w:eastAsia="Times New Roman" w:cs="Calibri"/>
                <w:b w:val="0"/>
                <w:bCs w:val="0"/>
                <w:sz w:val="18"/>
                <w:szCs w:val="18"/>
                <w:lang w:eastAsia="en-GB"/>
              </w:rPr>
            </w:pPr>
            <w:r w:rsidRPr="003B6E35">
              <w:rPr>
                <w:rFonts w:cs="Calibri"/>
                <w:b w:val="0"/>
                <w:bCs w:val="0"/>
                <w:sz w:val="18"/>
                <w:szCs w:val="18"/>
                <w:lang w:eastAsia="en-GB"/>
              </w:rPr>
              <w:t>Gross income</w:t>
            </w:r>
          </w:p>
        </w:tc>
        <w:tc>
          <w:tcPr>
            <w:tcW w:w="1909" w:type="dxa"/>
            <w:vAlign w:val="center"/>
          </w:tcPr>
          <w:p w14:paraId="4149E3B3" w14:textId="61E859B8" w:rsidR="00750113" w:rsidRPr="003B6E35" w:rsidRDefault="00750113" w:rsidP="00CA5D7B">
            <w:pPr>
              <w:pStyle w:val="Default"/>
              <w:jc w:val="right"/>
              <w:cnfStyle w:val="000000000000" w:firstRow="0" w:lastRow="0" w:firstColumn="0" w:lastColumn="0" w:oddVBand="0" w:evenVBand="0" w:oddHBand="0" w:evenHBand="0" w:firstRowFirstColumn="0" w:firstRowLastColumn="0" w:lastRowFirstColumn="0" w:lastRowLastColumn="0"/>
              <w:rPr>
                <w:rFonts w:ascii="FS Albert" w:hAnsi="FS Albert"/>
                <w:sz w:val="18"/>
                <w:szCs w:val="18"/>
              </w:rPr>
            </w:pPr>
            <w:r w:rsidRPr="003B6E35">
              <w:rPr>
                <w:rFonts w:ascii="FS Albert" w:hAnsi="FS Albert"/>
                <w:b/>
                <w:bCs/>
                <w:sz w:val="18"/>
                <w:szCs w:val="18"/>
              </w:rPr>
              <w:t>1,577,195</w:t>
            </w:r>
          </w:p>
        </w:tc>
        <w:tc>
          <w:tcPr>
            <w:tcW w:w="1909" w:type="dxa"/>
            <w:vAlign w:val="center"/>
          </w:tcPr>
          <w:p w14:paraId="4AB13301" w14:textId="7FD4AA91" w:rsidR="00750113" w:rsidRPr="003B6E35" w:rsidRDefault="00750113" w:rsidP="00CA5D7B">
            <w:pPr>
              <w:pStyle w:val="Default"/>
              <w:jc w:val="right"/>
              <w:cnfStyle w:val="000000000000" w:firstRow="0" w:lastRow="0" w:firstColumn="0" w:lastColumn="0" w:oddVBand="0" w:evenVBand="0" w:oddHBand="0" w:evenHBand="0" w:firstRowFirstColumn="0" w:firstRowLastColumn="0" w:lastRowFirstColumn="0" w:lastRowLastColumn="0"/>
              <w:rPr>
                <w:rFonts w:ascii="FS Albert" w:hAnsi="FS Albert"/>
                <w:sz w:val="18"/>
                <w:szCs w:val="18"/>
              </w:rPr>
            </w:pPr>
            <w:r w:rsidRPr="003B6E35">
              <w:rPr>
                <w:rFonts w:ascii="FS Albert" w:hAnsi="FS Albert"/>
                <w:sz w:val="18"/>
                <w:szCs w:val="18"/>
              </w:rPr>
              <w:t>2,197,009</w:t>
            </w:r>
          </w:p>
        </w:tc>
      </w:tr>
      <w:tr w:rsidR="00750113" w:rsidRPr="00750113" w14:paraId="71E7838C" w14:textId="77777777" w:rsidTr="00CA5D7B">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202" w:type="dxa"/>
            <w:vAlign w:val="center"/>
          </w:tcPr>
          <w:p w14:paraId="60BE1143" w14:textId="22D4BA9F" w:rsidR="00750113" w:rsidRPr="007F0D92" w:rsidRDefault="003B6E35" w:rsidP="00EB3246">
            <w:pPr>
              <w:widowControl/>
              <w:autoSpaceDE/>
              <w:autoSpaceDN/>
              <w:rPr>
                <w:rFonts w:eastAsia="Times New Roman" w:cs="Calibri"/>
                <w:b w:val="0"/>
                <w:bCs w:val="0"/>
                <w:sz w:val="18"/>
                <w:szCs w:val="18"/>
                <w:lang w:eastAsia="en-GB"/>
              </w:rPr>
            </w:pPr>
            <w:r w:rsidRPr="003B6E35">
              <w:rPr>
                <w:rFonts w:cs="Calibri"/>
                <w:b w:val="0"/>
                <w:bCs w:val="0"/>
                <w:sz w:val="18"/>
                <w:szCs w:val="18"/>
                <w:lang w:eastAsia="en-GB"/>
              </w:rPr>
              <w:lastRenderedPageBreak/>
              <w:t>Results for the year</w:t>
            </w:r>
          </w:p>
        </w:tc>
        <w:tc>
          <w:tcPr>
            <w:tcW w:w="1909" w:type="dxa"/>
            <w:tcBorders>
              <w:bottom w:val="double" w:sz="4" w:space="0" w:color="auto"/>
            </w:tcBorders>
            <w:vAlign w:val="center"/>
          </w:tcPr>
          <w:p w14:paraId="76A912E6" w14:textId="48B9BE60" w:rsidR="00750113" w:rsidRPr="003B6E35" w:rsidRDefault="00750113" w:rsidP="00CA5D7B">
            <w:pPr>
              <w:pStyle w:val="Default"/>
              <w:jc w:val="right"/>
              <w:cnfStyle w:val="000000100000" w:firstRow="0" w:lastRow="0" w:firstColumn="0" w:lastColumn="0" w:oddVBand="0" w:evenVBand="0" w:oddHBand="1" w:evenHBand="0" w:firstRowFirstColumn="0" w:firstRowLastColumn="0" w:lastRowFirstColumn="0" w:lastRowLastColumn="0"/>
              <w:rPr>
                <w:rFonts w:ascii="FS Albert" w:hAnsi="FS Albert"/>
                <w:sz w:val="18"/>
                <w:szCs w:val="18"/>
              </w:rPr>
            </w:pPr>
            <w:r w:rsidRPr="003B6E35">
              <w:rPr>
                <w:rFonts w:ascii="FS Albert" w:hAnsi="FS Albert"/>
                <w:b/>
                <w:bCs/>
                <w:sz w:val="18"/>
                <w:szCs w:val="18"/>
              </w:rPr>
              <w:t>(244,832)</w:t>
            </w:r>
          </w:p>
        </w:tc>
        <w:tc>
          <w:tcPr>
            <w:tcW w:w="1909" w:type="dxa"/>
            <w:tcBorders>
              <w:bottom w:val="double" w:sz="4" w:space="0" w:color="auto"/>
            </w:tcBorders>
            <w:vAlign w:val="center"/>
          </w:tcPr>
          <w:p w14:paraId="4F470068" w14:textId="500AA857" w:rsidR="00750113" w:rsidRPr="003B6E35" w:rsidRDefault="00750113" w:rsidP="00CA5D7B">
            <w:pPr>
              <w:pStyle w:val="Default"/>
              <w:jc w:val="right"/>
              <w:cnfStyle w:val="000000100000" w:firstRow="0" w:lastRow="0" w:firstColumn="0" w:lastColumn="0" w:oddVBand="0" w:evenVBand="0" w:oddHBand="1" w:evenHBand="0" w:firstRowFirstColumn="0" w:firstRowLastColumn="0" w:lastRowFirstColumn="0" w:lastRowLastColumn="0"/>
              <w:rPr>
                <w:rFonts w:ascii="FS Albert" w:hAnsi="FS Albert"/>
                <w:sz w:val="18"/>
                <w:szCs w:val="18"/>
              </w:rPr>
            </w:pPr>
            <w:r w:rsidRPr="003B6E35">
              <w:rPr>
                <w:rFonts w:ascii="FS Albert" w:hAnsi="FS Albert"/>
                <w:sz w:val="18"/>
                <w:szCs w:val="18"/>
              </w:rPr>
              <w:t>(542,327)</w:t>
            </w:r>
          </w:p>
        </w:tc>
      </w:tr>
    </w:tbl>
    <w:p w14:paraId="7A15411F" w14:textId="2161D2B3" w:rsidR="00C74404" w:rsidRDefault="00C74404" w:rsidP="00C74404">
      <w:pPr>
        <w:pStyle w:val="ListNumber"/>
        <w:numPr>
          <w:ilvl w:val="0"/>
          <w:numId w:val="0"/>
        </w:numPr>
        <w:ind w:left="360" w:hanging="360"/>
      </w:pPr>
    </w:p>
    <w:p w14:paraId="2E06C6A8" w14:textId="68094784" w:rsidR="0017512E" w:rsidRDefault="0017512E" w:rsidP="0017512E">
      <w:pPr>
        <w:pStyle w:val="ListNumber"/>
      </w:pPr>
      <w:r w:rsidRPr="0017512E">
        <w:t>Investments</w:t>
      </w:r>
    </w:p>
    <w:tbl>
      <w:tblPr>
        <w:tblStyle w:val="PlainTable4"/>
        <w:tblW w:w="8789" w:type="dxa"/>
        <w:tblLook w:val="04A0" w:firstRow="1" w:lastRow="0" w:firstColumn="1" w:lastColumn="0" w:noHBand="0" w:noVBand="1"/>
      </w:tblPr>
      <w:tblGrid>
        <w:gridCol w:w="3941"/>
        <w:gridCol w:w="1154"/>
        <w:gridCol w:w="1137"/>
        <w:gridCol w:w="1154"/>
        <w:gridCol w:w="1403"/>
      </w:tblGrid>
      <w:tr w:rsidR="003B6E35" w14:paraId="5CAE42DD" w14:textId="77777777" w:rsidTr="008D3341">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299EF9E9" w14:textId="77777777" w:rsidR="003B6E35" w:rsidRPr="001B1DFE" w:rsidRDefault="003B6E35" w:rsidP="00EB3246">
            <w:pPr>
              <w:rPr>
                <w:b w:val="0"/>
                <w:bCs w:val="0"/>
                <w:sz w:val="16"/>
                <w:szCs w:val="16"/>
              </w:rPr>
            </w:pPr>
          </w:p>
        </w:tc>
        <w:tc>
          <w:tcPr>
            <w:tcW w:w="2291" w:type="dxa"/>
            <w:gridSpan w:val="2"/>
            <w:vAlign w:val="center"/>
          </w:tcPr>
          <w:p w14:paraId="77C3E8A6" w14:textId="5D2C3226" w:rsidR="003B6E35" w:rsidRPr="00921C63" w:rsidRDefault="003B6E35" w:rsidP="003B6E35">
            <w:pPr>
              <w:pStyle w:val="TableParagraph"/>
              <w:jc w:val="center"/>
              <w:cnfStyle w:val="100000000000" w:firstRow="1" w:lastRow="0" w:firstColumn="0" w:lastColumn="0" w:oddVBand="0" w:evenVBand="0" w:oddHBand="0" w:evenHBand="0" w:firstRowFirstColumn="0" w:firstRowLastColumn="0" w:lastRowFirstColumn="0" w:lastRowLastColumn="0"/>
            </w:pPr>
            <w:r w:rsidRPr="00921C63">
              <w:t>The group</w:t>
            </w:r>
          </w:p>
        </w:tc>
        <w:tc>
          <w:tcPr>
            <w:tcW w:w="2557" w:type="dxa"/>
            <w:gridSpan w:val="2"/>
            <w:vAlign w:val="center"/>
          </w:tcPr>
          <w:p w14:paraId="565381FA" w14:textId="2F3EC5B5" w:rsidR="003B6E35" w:rsidRPr="00921C63" w:rsidRDefault="003B6E35" w:rsidP="003B6E35">
            <w:pPr>
              <w:pStyle w:val="TableParagraph"/>
              <w:jc w:val="center"/>
              <w:cnfStyle w:val="100000000000" w:firstRow="1" w:lastRow="0" w:firstColumn="0" w:lastColumn="0" w:oddVBand="0" w:evenVBand="0" w:oddHBand="0" w:evenHBand="0" w:firstRowFirstColumn="0" w:firstRowLastColumn="0" w:lastRowFirstColumn="0" w:lastRowLastColumn="0"/>
            </w:pPr>
            <w:r w:rsidRPr="00921C63">
              <w:t>The charity</w:t>
            </w:r>
          </w:p>
        </w:tc>
      </w:tr>
      <w:tr w:rsidR="003B6E35" w14:paraId="20F58339" w14:textId="77777777" w:rsidTr="00CA5D7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2447F978" w14:textId="77777777" w:rsidR="003B6E35" w:rsidRPr="008D3341" w:rsidRDefault="003B6E35" w:rsidP="003B6E35">
            <w:pPr>
              <w:pStyle w:val="TableParagraph"/>
              <w:rPr>
                <w:b w:val="0"/>
                <w:bCs w:val="0"/>
                <w:szCs w:val="18"/>
              </w:rPr>
            </w:pPr>
          </w:p>
        </w:tc>
        <w:tc>
          <w:tcPr>
            <w:tcW w:w="1154" w:type="dxa"/>
            <w:vAlign w:val="center"/>
          </w:tcPr>
          <w:p w14:paraId="00D48168"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rFonts w:cs="Calibri"/>
                <w:b/>
                <w:bCs/>
                <w:szCs w:val="18"/>
              </w:rPr>
            </w:pPr>
            <w:r w:rsidRPr="008D3341">
              <w:rPr>
                <w:rFonts w:cs="Calibri"/>
                <w:b/>
                <w:bCs/>
                <w:szCs w:val="18"/>
              </w:rPr>
              <w:t>2021</w:t>
            </w:r>
          </w:p>
          <w:p w14:paraId="783A3A9F" w14:textId="737524E8" w:rsidR="00921C63" w:rsidRPr="008D3341" w:rsidRDefault="00921C63"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w:t>
            </w:r>
          </w:p>
        </w:tc>
        <w:tc>
          <w:tcPr>
            <w:tcW w:w="1137" w:type="dxa"/>
            <w:vAlign w:val="center"/>
          </w:tcPr>
          <w:p w14:paraId="0E58EA34"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r w:rsidRPr="008D3341">
              <w:rPr>
                <w:rFonts w:cs="Calibri"/>
                <w:szCs w:val="18"/>
              </w:rPr>
              <w:t>2020</w:t>
            </w:r>
          </w:p>
          <w:p w14:paraId="6CE7D148" w14:textId="041D9367" w:rsidR="00921C63" w:rsidRPr="008D3341" w:rsidRDefault="00921C63"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w:t>
            </w:r>
          </w:p>
        </w:tc>
        <w:tc>
          <w:tcPr>
            <w:tcW w:w="1154" w:type="dxa"/>
            <w:vAlign w:val="center"/>
          </w:tcPr>
          <w:p w14:paraId="5EC2CCE8"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rFonts w:cs="Calibri"/>
                <w:b/>
                <w:bCs/>
                <w:szCs w:val="18"/>
              </w:rPr>
            </w:pPr>
            <w:r w:rsidRPr="008D3341">
              <w:rPr>
                <w:rFonts w:cs="Calibri"/>
                <w:b/>
                <w:bCs/>
                <w:szCs w:val="18"/>
              </w:rPr>
              <w:t>2021</w:t>
            </w:r>
          </w:p>
          <w:p w14:paraId="1454AA2D" w14:textId="723BC103" w:rsidR="00921C63" w:rsidRPr="008D3341" w:rsidRDefault="00921C63"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w:t>
            </w:r>
          </w:p>
        </w:tc>
        <w:tc>
          <w:tcPr>
            <w:tcW w:w="1403" w:type="dxa"/>
            <w:vAlign w:val="center"/>
          </w:tcPr>
          <w:p w14:paraId="3891A04E"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r w:rsidRPr="008D3341">
              <w:rPr>
                <w:rFonts w:cs="Calibri"/>
                <w:szCs w:val="18"/>
              </w:rPr>
              <w:t>2020</w:t>
            </w:r>
          </w:p>
          <w:p w14:paraId="0F112CEF" w14:textId="45BFA8AD" w:rsidR="00921C63" w:rsidRPr="008D3341" w:rsidRDefault="00921C63"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w:t>
            </w:r>
          </w:p>
        </w:tc>
      </w:tr>
      <w:tr w:rsidR="003B6E35" w14:paraId="0846EE3E"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3EDB1F00" w14:textId="77777777" w:rsidR="003B6E35" w:rsidRPr="008D3341" w:rsidRDefault="003B6E35" w:rsidP="003B6E35">
            <w:pPr>
              <w:pStyle w:val="TableParagraph"/>
              <w:rPr>
                <w:b w:val="0"/>
                <w:bCs w:val="0"/>
                <w:szCs w:val="18"/>
              </w:rPr>
            </w:pPr>
          </w:p>
        </w:tc>
        <w:tc>
          <w:tcPr>
            <w:tcW w:w="1154" w:type="dxa"/>
            <w:vAlign w:val="center"/>
          </w:tcPr>
          <w:p w14:paraId="77412634" w14:textId="77777777"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37" w:type="dxa"/>
            <w:vAlign w:val="center"/>
          </w:tcPr>
          <w:p w14:paraId="1963859D" w14:textId="77777777"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54" w:type="dxa"/>
            <w:vAlign w:val="center"/>
          </w:tcPr>
          <w:p w14:paraId="1A09A118" w14:textId="77777777"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403" w:type="dxa"/>
            <w:vAlign w:val="center"/>
          </w:tcPr>
          <w:p w14:paraId="7E75CD03" w14:textId="77777777"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3B6E35" w14:paraId="6A3B923B" w14:textId="77777777" w:rsidTr="00CA5D7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242E87A2" w14:textId="0E9ED750" w:rsidR="003B6E35" w:rsidRPr="008D3341" w:rsidRDefault="003B6E35" w:rsidP="00CA5D7B">
            <w:pPr>
              <w:pStyle w:val="TableParagraph"/>
              <w:rPr>
                <w:b w:val="0"/>
                <w:bCs w:val="0"/>
                <w:szCs w:val="18"/>
              </w:rPr>
            </w:pPr>
            <w:r w:rsidRPr="008D3341">
              <w:rPr>
                <w:rFonts w:cs="Calibri"/>
                <w:b w:val="0"/>
                <w:bCs w:val="0"/>
                <w:szCs w:val="18"/>
              </w:rPr>
              <w:t xml:space="preserve">Listed investments brought forward </w:t>
            </w:r>
          </w:p>
        </w:tc>
        <w:tc>
          <w:tcPr>
            <w:tcW w:w="1154" w:type="dxa"/>
            <w:vAlign w:val="center"/>
          </w:tcPr>
          <w:p w14:paraId="281613CA" w14:textId="3DD5B369"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1,927,248</w:t>
            </w:r>
          </w:p>
        </w:tc>
        <w:tc>
          <w:tcPr>
            <w:tcW w:w="1137" w:type="dxa"/>
            <w:vAlign w:val="center"/>
          </w:tcPr>
          <w:p w14:paraId="7202003A" w14:textId="40987C13"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1,537,423</w:t>
            </w:r>
          </w:p>
        </w:tc>
        <w:tc>
          <w:tcPr>
            <w:tcW w:w="1154" w:type="dxa"/>
            <w:vAlign w:val="center"/>
          </w:tcPr>
          <w:p w14:paraId="51CF94B9" w14:textId="0B39E7C8"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1,927,248</w:t>
            </w:r>
          </w:p>
        </w:tc>
        <w:tc>
          <w:tcPr>
            <w:tcW w:w="1403" w:type="dxa"/>
            <w:vAlign w:val="center"/>
          </w:tcPr>
          <w:p w14:paraId="23896D87" w14:textId="45D82A31"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1,537,423</w:t>
            </w:r>
          </w:p>
        </w:tc>
      </w:tr>
      <w:tr w:rsidR="003B6E35" w14:paraId="1097917E" w14:textId="77777777" w:rsidTr="00CA5D7B">
        <w:trPr>
          <w:trHeight w:val="296"/>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0A65D880" w14:textId="7EB6D161" w:rsidR="003B6E35" w:rsidRPr="008D3341" w:rsidRDefault="003B6E35" w:rsidP="00CA5D7B">
            <w:pPr>
              <w:pStyle w:val="TableParagraph"/>
              <w:rPr>
                <w:b w:val="0"/>
                <w:bCs w:val="0"/>
                <w:szCs w:val="18"/>
              </w:rPr>
            </w:pPr>
            <w:r w:rsidRPr="008D3341">
              <w:rPr>
                <w:rFonts w:cs="Calibri"/>
                <w:b w:val="0"/>
                <w:bCs w:val="0"/>
                <w:szCs w:val="18"/>
              </w:rPr>
              <w:t>Disposal proceeds</w:t>
            </w:r>
          </w:p>
        </w:tc>
        <w:tc>
          <w:tcPr>
            <w:tcW w:w="1154" w:type="dxa"/>
            <w:vAlign w:val="center"/>
          </w:tcPr>
          <w:p w14:paraId="002F4BAB" w14:textId="4A508874"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(1,250,092)</w:t>
            </w:r>
          </w:p>
        </w:tc>
        <w:tc>
          <w:tcPr>
            <w:tcW w:w="1137" w:type="dxa"/>
            <w:vAlign w:val="center"/>
          </w:tcPr>
          <w:p w14:paraId="31769632" w14:textId="34DCB141"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w:t>
            </w:r>
          </w:p>
        </w:tc>
        <w:tc>
          <w:tcPr>
            <w:tcW w:w="1154" w:type="dxa"/>
            <w:vAlign w:val="center"/>
          </w:tcPr>
          <w:p w14:paraId="2D6CC30D" w14:textId="477D9209"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(1,250,092)</w:t>
            </w:r>
          </w:p>
        </w:tc>
        <w:tc>
          <w:tcPr>
            <w:tcW w:w="1403" w:type="dxa"/>
            <w:vAlign w:val="center"/>
          </w:tcPr>
          <w:p w14:paraId="40838524" w14:textId="10D76495"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w:t>
            </w:r>
          </w:p>
        </w:tc>
      </w:tr>
      <w:tr w:rsidR="003B6E35" w14:paraId="1159C971" w14:textId="77777777" w:rsidTr="00CA5D7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21B55954" w14:textId="468B8038" w:rsidR="003B6E35" w:rsidRPr="008D3341" w:rsidRDefault="003B6E35" w:rsidP="00CA5D7B">
            <w:pPr>
              <w:pStyle w:val="TableParagraph"/>
              <w:rPr>
                <w:b w:val="0"/>
                <w:bCs w:val="0"/>
                <w:szCs w:val="18"/>
              </w:rPr>
            </w:pPr>
            <w:r w:rsidRPr="008D3341">
              <w:rPr>
                <w:rFonts w:cs="Calibri"/>
                <w:b w:val="0"/>
                <w:bCs w:val="0"/>
                <w:szCs w:val="18"/>
              </w:rPr>
              <w:t xml:space="preserve">Purchases </w:t>
            </w:r>
          </w:p>
        </w:tc>
        <w:tc>
          <w:tcPr>
            <w:tcW w:w="1154" w:type="dxa"/>
            <w:vAlign w:val="center"/>
          </w:tcPr>
          <w:p w14:paraId="4530BB17" w14:textId="0E8FA4A8"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w:t>
            </w:r>
          </w:p>
        </w:tc>
        <w:tc>
          <w:tcPr>
            <w:tcW w:w="1137" w:type="dxa"/>
            <w:vAlign w:val="center"/>
          </w:tcPr>
          <w:p w14:paraId="79863772" w14:textId="1188E7FA"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500,000</w:t>
            </w:r>
          </w:p>
        </w:tc>
        <w:tc>
          <w:tcPr>
            <w:tcW w:w="1154" w:type="dxa"/>
            <w:vAlign w:val="center"/>
          </w:tcPr>
          <w:p w14:paraId="2D0A054E" w14:textId="37584DD2"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w:t>
            </w:r>
          </w:p>
        </w:tc>
        <w:tc>
          <w:tcPr>
            <w:tcW w:w="1403" w:type="dxa"/>
            <w:vAlign w:val="center"/>
          </w:tcPr>
          <w:p w14:paraId="747A4298" w14:textId="323A663F"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500,000</w:t>
            </w:r>
          </w:p>
        </w:tc>
      </w:tr>
      <w:tr w:rsidR="003B6E35" w14:paraId="5A538222"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3C91B038" w14:textId="70C2BDE1" w:rsidR="003B6E35" w:rsidRPr="008D3341" w:rsidRDefault="003B6E35" w:rsidP="00CA5D7B">
            <w:pPr>
              <w:pStyle w:val="TableParagraph"/>
              <w:rPr>
                <w:b w:val="0"/>
                <w:bCs w:val="0"/>
                <w:szCs w:val="18"/>
              </w:rPr>
            </w:pPr>
            <w:r w:rsidRPr="008D3341">
              <w:rPr>
                <w:rFonts w:cs="Calibri"/>
                <w:b w:val="0"/>
                <w:bCs w:val="0"/>
                <w:szCs w:val="18"/>
              </w:rPr>
              <w:t>Net gain / (loss) on change in fair value</w:t>
            </w:r>
          </w:p>
        </w:tc>
        <w:tc>
          <w:tcPr>
            <w:tcW w:w="1154" w:type="dxa"/>
            <w:vAlign w:val="center"/>
          </w:tcPr>
          <w:p w14:paraId="3C2228B7" w14:textId="37AC84B1"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364,632</w:t>
            </w:r>
          </w:p>
        </w:tc>
        <w:tc>
          <w:tcPr>
            <w:tcW w:w="1137" w:type="dxa"/>
            <w:vAlign w:val="center"/>
          </w:tcPr>
          <w:p w14:paraId="0580BC31" w14:textId="4C3821BC"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(110,175)</w:t>
            </w:r>
          </w:p>
        </w:tc>
        <w:tc>
          <w:tcPr>
            <w:tcW w:w="1154" w:type="dxa"/>
            <w:vAlign w:val="center"/>
          </w:tcPr>
          <w:p w14:paraId="36C050C2" w14:textId="51AE3001"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364,632</w:t>
            </w:r>
          </w:p>
        </w:tc>
        <w:tc>
          <w:tcPr>
            <w:tcW w:w="1403" w:type="dxa"/>
            <w:vAlign w:val="center"/>
          </w:tcPr>
          <w:p w14:paraId="0AE6FBB8" w14:textId="0571489F"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(110,175)</w:t>
            </w:r>
          </w:p>
        </w:tc>
      </w:tr>
      <w:tr w:rsidR="003B6E35" w14:paraId="152C100D" w14:textId="77777777" w:rsidTr="00CA5D7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04C79A86" w14:textId="77777777" w:rsidR="003B6E35" w:rsidRPr="008D3341" w:rsidRDefault="003B6E35" w:rsidP="00CA5D7B">
            <w:pPr>
              <w:pStyle w:val="TableParagraph"/>
              <w:rPr>
                <w:b w:val="0"/>
                <w:bCs w:val="0"/>
                <w:szCs w:val="18"/>
              </w:rPr>
            </w:pPr>
          </w:p>
        </w:tc>
        <w:tc>
          <w:tcPr>
            <w:tcW w:w="1154" w:type="dxa"/>
            <w:vAlign w:val="center"/>
          </w:tcPr>
          <w:p w14:paraId="787FB4D5" w14:textId="706B54F6"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 </w:t>
            </w:r>
          </w:p>
        </w:tc>
        <w:tc>
          <w:tcPr>
            <w:tcW w:w="1137" w:type="dxa"/>
            <w:vAlign w:val="center"/>
          </w:tcPr>
          <w:p w14:paraId="56494B62" w14:textId="207300D1"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 </w:t>
            </w:r>
          </w:p>
        </w:tc>
        <w:tc>
          <w:tcPr>
            <w:tcW w:w="1154" w:type="dxa"/>
            <w:vAlign w:val="center"/>
          </w:tcPr>
          <w:p w14:paraId="54DDE01E" w14:textId="2274717A"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 </w:t>
            </w:r>
          </w:p>
        </w:tc>
        <w:tc>
          <w:tcPr>
            <w:tcW w:w="1403" w:type="dxa"/>
            <w:vAlign w:val="center"/>
          </w:tcPr>
          <w:p w14:paraId="5EEBBFDB" w14:textId="65FBA50C"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 </w:t>
            </w:r>
          </w:p>
        </w:tc>
      </w:tr>
      <w:tr w:rsidR="003B6E35" w14:paraId="0C827F82"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2B57B215" w14:textId="31CB7F0E" w:rsidR="003B6E35" w:rsidRPr="008D3341" w:rsidRDefault="008D3341" w:rsidP="00CA5D7B">
            <w:pPr>
              <w:pStyle w:val="TableParagraph"/>
              <w:rPr>
                <w:b w:val="0"/>
                <w:bCs w:val="0"/>
                <w:szCs w:val="18"/>
              </w:rPr>
            </w:pPr>
            <w:r w:rsidRPr="008D3341">
              <w:rPr>
                <w:rFonts w:cs="Calibri"/>
                <w:b w:val="0"/>
                <w:bCs w:val="0"/>
                <w:szCs w:val="18"/>
              </w:rPr>
              <w:t>Fair value of listed investments at the end of the year</w:t>
            </w:r>
          </w:p>
        </w:tc>
        <w:tc>
          <w:tcPr>
            <w:tcW w:w="1154" w:type="dxa"/>
            <w:tcBorders>
              <w:top w:val="single" w:sz="4" w:space="0" w:color="auto"/>
              <w:bottom w:val="single" w:sz="4" w:space="0" w:color="auto"/>
            </w:tcBorders>
            <w:vAlign w:val="center"/>
          </w:tcPr>
          <w:p w14:paraId="5E57A220" w14:textId="60A75953"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1,041,788</w:t>
            </w:r>
          </w:p>
        </w:tc>
        <w:tc>
          <w:tcPr>
            <w:tcW w:w="1137" w:type="dxa"/>
            <w:tcBorders>
              <w:top w:val="single" w:sz="4" w:space="0" w:color="auto"/>
              <w:bottom w:val="single" w:sz="4" w:space="0" w:color="auto"/>
            </w:tcBorders>
            <w:vAlign w:val="center"/>
          </w:tcPr>
          <w:p w14:paraId="62F37EF0" w14:textId="76F30B65"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1,927,248</w:t>
            </w:r>
          </w:p>
        </w:tc>
        <w:tc>
          <w:tcPr>
            <w:tcW w:w="1154" w:type="dxa"/>
            <w:tcBorders>
              <w:top w:val="single" w:sz="4" w:space="0" w:color="auto"/>
              <w:bottom w:val="single" w:sz="4" w:space="0" w:color="auto"/>
            </w:tcBorders>
            <w:vAlign w:val="center"/>
          </w:tcPr>
          <w:p w14:paraId="3259AACF" w14:textId="68322A5D"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1,041,788</w:t>
            </w:r>
          </w:p>
        </w:tc>
        <w:tc>
          <w:tcPr>
            <w:tcW w:w="1403" w:type="dxa"/>
            <w:tcBorders>
              <w:top w:val="single" w:sz="4" w:space="0" w:color="auto"/>
              <w:bottom w:val="single" w:sz="4" w:space="0" w:color="auto"/>
            </w:tcBorders>
            <w:vAlign w:val="center"/>
          </w:tcPr>
          <w:p w14:paraId="34FA9713" w14:textId="01F79A6D"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1,927,248</w:t>
            </w:r>
          </w:p>
        </w:tc>
      </w:tr>
      <w:tr w:rsidR="003B6E35" w14:paraId="2A0CA274" w14:textId="77777777" w:rsidTr="00CA5D7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05625C45" w14:textId="77777777" w:rsidR="003B6E35" w:rsidRPr="008D3341" w:rsidRDefault="003B6E35" w:rsidP="00CA5D7B">
            <w:pPr>
              <w:pStyle w:val="TableParagraph"/>
              <w:rPr>
                <w:b w:val="0"/>
                <w:bCs w:val="0"/>
                <w:szCs w:val="18"/>
              </w:rPr>
            </w:pPr>
          </w:p>
        </w:tc>
        <w:tc>
          <w:tcPr>
            <w:tcW w:w="1154" w:type="dxa"/>
            <w:tcBorders>
              <w:top w:val="single" w:sz="4" w:space="0" w:color="auto"/>
            </w:tcBorders>
            <w:vAlign w:val="center"/>
          </w:tcPr>
          <w:p w14:paraId="297A85D4"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37" w:type="dxa"/>
            <w:tcBorders>
              <w:top w:val="single" w:sz="4" w:space="0" w:color="auto"/>
            </w:tcBorders>
            <w:vAlign w:val="center"/>
          </w:tcPr>
          <w:p w14:paraId="5C6CE9C9"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54" w:type="dxa"/>
            <w:tcBorders>
              <w:top w:val="single" w:sz="4" w:space="0" w:color="auto"/>
            </w:tcBorders>
            <w:vAlign w:val="center"/>
          </w:tcPr>
          <w:p w14:paraId="5951A0B4"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403" w:type="dxa"/>
            <w:tcBorders>
              <w:top w:val="single" w:sz="4" w:space="0" w:color="auto"/>
            </w:tcBorders>
            <w:vAlign w:val="center"/>
          </w:tcPr>
          <w:p w14:paraId="2B8F0DAE"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3B6E35" w14:paraId="1AD6C81B"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41C1189A" w14:textId="3C1BEB5D" w:rsidR="003B6E35" w:rsidRPr="008D3341" w:rsidRDefault="003B6E35" w:rsidP="00CA5D7B">
            <w:pPr>
              <w:pStyle w:val="TableParagraph"/>
              <w:rPr>
                <w:b w:val="0"/>
                <w:bCs w:val="0"/>
                <w:szCs w:val="18"/>
              </w:rPr>
            </w:pPr>
            <w:r w:rsidRPr="008D3341">
              <w:rPr>
                <w:rFonts w:cs="Calibri"/>
                <w:b w:val="0"/>
                <w:bCs w:val="0"/>
                <w:szCs w:val="18"/>
              </w:rPr>
              <w:t>Investment in subsidiary</w:t>
            </w:r>
          </w:p>
        </w:tc>
        <w:tc>
          <w:tcPr>
            <w:tcW w:w="1154" w:type="dxa"/>
            <w:vAlign w:val="center"/>
          </w:tcPr>
          <w:p w14:paraId="27D9AB55" w14:textId="0F1ABE04"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w:t>
            </w:r>
          </w:p>
        </w:tc>
        <w:tc>
          <w:tcPr>
            <w:tcW w:w="1137" w:type="dxa"/>
            <w:vAlign w:val="center"/>
          </w:tcPr>
          <w:p w14:paraId="648E981F" w14:textId="650907BE"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w:t>
            </w:r>
          </w:p>
        </w:tc>
        <w:tc>
          <w:tcPr>
            <w:tcW w:w="1154" w:type="dxa"/>
            <w:vAlign w:val="center"/>
          </w:tcPr>
          <w:p w14:paraId="4D6EB899" w14:textId="679011D7"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100</w:t>
            </w:r>
          </w:p>
        </w:tc>
        <w:tc>
          <w:tcPr>
            <w:tcW w:w="1403" w:type="dxa"/>
            <w:vAlign w:val="center"/>
          </w:tcPr>
          <w:p w14:paraId="2BACAF88" w14:textId="12EBEBA4"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100</w:t>
            </w:r>
          </w:p>
        </w:tc>
      </w:tr>
      <w:tr w:rsidR="003B6E35" w14:paraId="4075CFBC" w14:textId="77777777" w:rsidTr="00CA5D7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3CC7632A" w14:textId="77777777" w:rsidR="003B6E35" w:rsidRPr="008D3341" w:rsidRDefault="003B6E35" w:rsidP="00CA5D7B">
            <w:pPr>
              <w:pStyle w:val="TableParagraph"/>
              <w:rPr>
                <w:b w:val="0"/>
                <w:bCs w:val="0"/>
                <w:szCs w:val="18"/>
              </w:rPr>
            </w:pPr>
          </w:p>
        </w:tc>
        <w:tc>
          <w:tcPr>
            <w:tcW w:w="1154" w:type="dxa"/>
            <w:tcBorders>
              <w:bottom w:val="single" w:sz="4" w:space="0" w:color="auto"/>
            </w:tcBorders>
            <w:vAlign w:val="center"/>
          </w:tcPr>
          <w:p w14:paraId="4834144E"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37" w:type="dxa"/>
            <w:tcBorders>
              <w:bottom w:val="single" w:sz="4" w:space="0" w:color="auto"/>
            </w:tcBorders>
            <w:vAlign w:val="center"/>
          </w:tcPr>
          <w:p w14:paraId="10FBCA35"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54" w:type="dxa"/>
            <w:tcBorders>
              <w:bottom w:val="single" w:sz="4" w:space="0" w:color="auto"/>
            </w:tcBorders>
            <w:vAlign w:val="center"/>
          </w:tcPr>
          <w:p w14:paraId="26890CE0"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403" w:type="dxa"/>
            <w:tcBorders>
              <w:bottom w:val="single" w:sz="4" w:space="0" w:color="auto"/>
            </w:tcBorders>
            <w:vAlign w:val="center"/>
          </w:tcPr>
          <w:p w14:paraId="72BFBAFF"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3B6E35" w14:paraId="640995C3"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76A5C11E" w14:textId="16212987" w:rsidR="003B6E35" w:rsidRPr="008D3341" w:rsidRDefault="003B6E35" w:rsidP="00CA5D7B">
            <w:pPr>
              <w:pStyle w:val="TableParagraph"/>
              <w:rPr>
                <w:b w:val="0"/>
                <w:bCs w:val="0"/>
                <w:szCs w:val="18"/>
              </w:rPr>
            </w:pPr>
            <w:r w:rsidRPr="008D3341">
              <w:rPr>
                <w:rFonts w:cs="Calibri"/>
                <w:b w:val="0"/>
                <w:bCs w:val="0"/>
                <w:szCs w:val="18"/>
              </w:rPr>
              <w:t xml:space="preserve">Total investments </w:t>
            </w:r>
          </w:p>
        </w:tc>
        <w:tc>
          <w:tcPr>
            <w:tcW w:w="1154" w:type="dxa"/>
            <w:tcBorders>
              <w:top w:val="single" w:sz="4" w:space="0" w:color="auto"/>
              <w:bottom w:val="double" w:sz="4" w:space="0" w:color="auto"/>
            </w:tcBorders>
            <w:vAlign w:val="center"/>
          </w:tcPr>
          <w:p w14:paraId="4FEEA4B8" w14:textId="0FF85268"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1,041,788</w:t>
            </w:r>
          </w:p>
        </w:tc>
        <w:tc>
          <w:tcPr>
            <w:tcW w:w="1137" w:type="dxa"/>
            <w:tcBorders>
              <w:top w:val="single" w:sz="4" w:space="0" w:color="auto"/>
              <w:bottom w:val="double" w:sz="4" w:space="0" w:color="auto"/>
            </w:tcBorders>
            <w:vAlign w:val="center"/>
          </w:tcPr>
          <w:p w14:paraId="1131F466" w14:textId="267AED26"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1,927,248</w:t>
            </w:r>
          </w:p>
        </w:tc>
        <w:tc>
          <w:tcPr>
            <w:tcW w:w="1154" w:type="dxa"/>
            <w:tcBorders>
              <w:top w:val="single" w:sz="4" w:space="0" w:color="auto"/>
              <w:bottom w:val="double" w:sz="4" w:space="0" w:color="auto"/>
            </w:tcBorders>
            <w:vAlign w:val="center"/>
          </w:tcPr>
          <w:p w14:paraId="4479A075" w14:textId="1D096011"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1,041,888</w:t>
            </w:r>
          </w:p>
        </w:tc>
        <w:tc>
          <w:tcPr>
            <w:tcW w:w="1403" w:type="dxa"/>
            <w:tcBorders>
              <w:top w:val="single" w:sz="4" w:space="0" w:color="auto"/>
              <w:bottom w:val="double" w:sz="4" w:space="0" w:color="auto"/>
            </w:tcBorders>
            <w:vAlign w:val="center"/>
          </w:tcPr>
          <w:p w14:paraId="090D7336" w14:textId="7FBBB437"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1,927,348</w:t>
            </w:r>
          </w:p>
        </w:tc>
      </w:tr>
      <w:tr w:rsidR="003B6E35" w14:paraId="4CE6943B" w14:textId="77777777" w:rsidTr="00CA5D7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5EC34E0D" w14:textId="77777777" w:rsidR="003B6E35" w:rsidRPr="008D3341" w:rsidRDefault="003B6E35" w:rsidP="00CA5D7B">
            <w:pPr>
              <w:pStyle w:val="TableParagraph"/>
              <w:rPr>
                <w:b w:val="0"/>
                <w:bCs w:val="0"/>
                <w:szCs w:val="18"/>
              </w:rPr>
            </w:pPr>
          </w:p>
        </w:tc>
        <w:tc>
          <w:tcPr>
            <w:tcW w:w="1154" w:type="dxa"/>
            <w:tcBorders>
              <w:top w:val="double" w:sz="4" w:space="0" w:color="auto"/>
            </w:tcBorders>
            <w:vAlign w:val="center"/>
          </w:tcPr>
          <w:p w14:paraId="05963E5D"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37" w:type="dxa"/>
            <w:tcBorders>
              <w:top w:val="double" w:sz="4" w:space="0" w:color="auto"/>
            </w:tcBorders>
            <w:vAlign w:val="center"/>
          </w:tcPr>
          <w:p w14:paraId="6FE33000"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154" w:type="dxa"/>
            <w:tcBorders>
              <w:top w:val="double" w:sz="4" w:space="0" w:color="auto"/>
            </w:tcBorders>
            <w:vAlign w:val="center"/>
          </w:tcPr>
          <w:p w14:paraId="79B5755F"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c>
          <w:tcPr>
            <w:tcW w:w="1403" w:type="dxa"/>
            <w:tcBorders>
              <w:top w:val="double" w:sz="4" w:space="0" w:color="auto"/>
            </w:tcBorders>
            <w:vAlign w:val="center"/>
          </w:tcPr>
          <w:p w14:paraId="4164A3A4" w14:textId="77777777" w:rsidR="003B6E35" w:rsidRPr="008D3341" w:rsidRDefault="003B6E35" w:rsidP="00CA5D7B">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p>
        </w:tc>
      </w:tr>
      <w:tr w:rsidR="003B6E35" w14:paraId="6A04E554"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44D18A7A" w14:textId="1142D240" w:rsidR="003B6E35" w:rsidRPr="008D3341" w:rsidRDefault="003B6E35" w:rsidP="00CA5D7B">
            <w:pPr>
              <w:pStyle w:val="TableParagraph"/>
              <w:rPr>
                <w:b w:val="0"/>
                <w:bCs w:val="0"/>
                <w:szCs w:val="18"/>
              </w:rPr>
            </w:pPr>
            <w:r w:rsidRPr="008D3341">
              <w:rPr>
                <w:rFonts w:cs="Calibri"/>
                <w:b w:val="0"/>
                <w:bCs w:val="0"/>
                <w:szCs w:val="18"/>
              </w:rPr>
              <w:t xml:space="preserve">Historic cost </w:t>
            </w:r>
          </w:p>
        </w:tc>
        <w:tc>
          <w:tcPr>
            <w:tcW w:w="1154" w:type="dxa"/>
            <w:tcBorders>
              <w:bottom w:val="double" w:sz="4" w:space="0" w:color="auto"/>
            </w:tcBorders>
            <w:vAlign w:val="center"/>
          </w:tcPr>
          <w:p w14:paraId="35BA4B81" w14:textId="447E270A"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895,739</w:t>
            </w:r>
          </w:p>
        </w:tc>
        <w:tc>
          <w:tcPr>
            <w:tcW w:w="1137" w:type="dxa"/>
            <w:tcBorders>
              <w:bottom w:val="double" w:sz="4" w:space="0" w:color="auto"/>
            </w:tcBorders>
            <w:vAlign w:val="center"/>
          </w:tcPr>
          <w:p w14:paraId="46EF5DE4" w14:textId="54E89E93"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2,000,000</w:t>
            </w:r>
          </w:p>
        </w:tc>
        <w:tc>
          <w:tcPr>
            <w:tcW w:w="1154" w:type="dxa"/>
            <w:tcBorders>
              <w:bottom w:val="double" w:sz="4" w:space="0" w:color="auto"/>
            </w:tcBorders>
            <w:vAlign w:val="center"/>
          </w:tcPr>
          <w:p w14:paraId="67F1DF59" w14:textId="0BB7226D"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895,739</w:t>
            </w:r>
          </w:p>
        </w:tc>
        <w:tc>
          <w:tcPr>
            <w:tcW w:w="1403" w:type="dxa"/>
            <w:tcBorders>
              <w:bottom w:val="double" w:sz="4" w:space="0" w:color="auto"/>
            </w:tcBorders>
            <w:vAlign w:val="center"/>
          </w:tcPr>
          <w:p w14:paraId="45124C46" w14:textId="5EFD9751" w:rsidR="003B6E35" w:rsidRPr="008D3341" w:rsidRDefault="003B6E35" w:rsidP="00CA5D7B">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2,000,000</w:t>
            </w:r>
          </w:p>
        </w:tc>
      </w:tr>
    </w:tbl>
    <w:p w14:paraId="3B5C36CF" w14:textId="5BAF794A" w:rsidR="00C74404" w:rsidRDefault="00C74404" w:rsidP="008D3341">
      <w:pPr>
        <w:pStyle w:val="ListNumber"/>
        <w:numPr>
          <w:ilvl w:val="0"/>
          <w:numId w:val="0"/>
        </w:numPr>
      </w:pPr>
    </w:p>
    <w:p w14:paraId="75CD00C5" w14:textId="77777777" w:rsidR="00C74404" w:rsidRDefault="00C74404" w:rsidP="008D3341">
      <w:pPr>
        <w:pStyle w:val="ListNumber"/>
        <w:numPr>
          <w:ilvl w:val="0"/>
          <w:numId w:val="0"/>
        </w:numPr>
      </w:pPr>
    </w:p>
    <w:p w14:paraId="593FA8C0" w14:textId="0BBF3D4E" w:rsidR="0017512E" w:rsidRDefault="0017512E" w:rsidP="0017512E">
      <w:pPr>
        <w:pStyle w:val="ListNumber"/>
      </w:pPr>
      <w:r w:rsidRPr="0017512E">
        <w:t>Debtors</w:t>
      </w:r>
    </w:p>
    <w:tbl>
      <w:tblPr>
        <w:tblStyle w:val="PlainTable4"/>
        <w:tblW w:w="8789" w:type="dxa"/>
        <w:tblLook w:val="04A0" w:firstRow="1" w:lastRow="0" w:firstColumn="1" w:lastColumn="0" w:noHBand="0" w:noVBand="1"/>
      </w:tblPr>
      <w:tblGrid>
        <w:gridCol w:w="3941"/>
        <w:gridCol w:w="1154"/>
        <w:gridCol w:w="1137"/>
        <w:gridCol w:w="1154"/>
        <w:gridCol w:w="1403"/>
      </w:tblGrid>
      <w:tr w:rsidR="00ED12C5" w14:paraId="025537F8" w14:textId="77777777" w:rsidTr="00EB3246">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09143A3B" w14:textId="77777777" w:rsidR="00ED12C5" w:rsidRPr="001B1DFE" w:rsidRDefault="00ED12C5" w:rsidP="00EB3246">
            <w:pPr>
              <w:rPr>
                <w:b w:val="0"/>
                <w:bCs w:val="0"/>
                <w:sz w:val="16"/>
                <w:szCs w:val="16"/>
              </w:rPr>
            </w:pPr>
          </w:p>
        </w:tc>
        <w:tc>
          <w:tcPr>
            <w:tcW w:w="2291" w:type="dxa"/>
            <w:gridSpan w:val="2"/>
            <w:vAlign w:val="center"/>
          </w:tcPr>
          <w:p w14:paraId="680AAC91" w14:textId="77777777" w:rsidR="00ED12C5" w:rsidRPr="00921C63" w:rsidRDefault="00ED12C5" w:rsidP="00EB3246">
            <w:pPr>
              <w:pStyle w:val="TableParagraph"/>
              <w:jc w:val="center"/>
              <w:cnfStyle w:val="100000000000" w:firstRow="1" w:lastRow="0" w:firstColumn="0" w:lastColumn="0" w:oddVBand="0" w:evenVBand="0" w:oddHBand="0" w:evenHBand="0" w:firstRowFirstColumn="0" w:firstRowLastColumn="0" w:lastRowFirstColumn="0" w:lastRowLastColumn="0"/>
            </w:pPr>
            <w:r w:rsidRPr="00921C63">
              <w:t>The group</w:t>
            </w:r>
          </w:p>
        </w:tc>
        <w:tc>
          <w:tcPr>
            <w:tcW w:w="2557" w:type="dxa"/>
            <w:gridSpan w:val="2"/>
            <w:vAlign w:val="center"/>
          </w:tcPr>
          <w:p w14:paraId="7C8B2D49" w14:textId="77777777" w:rsidR="00ED12C5" w:rsidRPr="00921C63" w:rsidRDefault="00ED12C5" w:rsidP="00EB3246">
            <w:pPr>
              <w:pStyle w:val="TableParagraph"/>
              <w:jc w:val="center"/>
              <w:cnfStyle w:val="100000000000" w:firstRow="1" w:lastRow="0" w:firstColumn="0" w:lastColumn="0" w:oddVBand="0" w:evenVBand="0" w:oddHBand="0" w:evenHBand="0" w:firstRowFirstColumn="0" w:firstRowLastColumn="0" w:lastRowFirstColumn="0" w:lastRowLastColumn="0"/>
            </w:pPr>
            <w:r w:rsidRPr="00921C63">
              <w:t>The charity</w:t>
            </w:r>
          </w:p>
        </w:tc>
      </w:tr>
      <w:tr w:rsidR="00ED12C5" w14:paraId="79231AED" w14:textId="77777777" w:rsidTr="00EB324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1A50CEAE" w14:textId="77777777" w:rsidR="00ED12C5" w:rsidRPr="001B1DFE" w:rsidRDefault="00ED12C5" w:rsidP="00EB3246">
            <w:pPr>
              <w:pStyle w:val="TableParagraph"/>
              <w:rPr>
                <w:b w:val="0"/>
                <w:bCs w:val="0"/>
              </w:rPr>
            </w:pPr>
          </w:p>
        </w:tc>
        <w:tc>
          <w:tcPr>
            <w:tcW w:w="1154" w:type="dxa"/>
            <w:vAlign w:val="bottom"/>
          </w:tcPr>
          <w:p w14:paraId="2915BBC9" w14:textId="77777777" w:rsidR="00ED12C5"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2021</w:t>
            </w:r>
          </w:p>
          <w:p w14:paraId="41D1DEF1" w14:textId="77777777" w:rsidR="00ED12C5" w:rsidRPr="001B1DFE"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w:t>
            </w:r>
          </w:p>
        </w:tc>
        <w:tc>
          <w:tcPr>
            <w:tcW w:w="1137" w:type="dxa"/>
            <w:vAlign w:val="bottom"/>
          </w:tcPr>
          <w:p w14:paraId="2B62A3FC" w14:textId="77777777" w:rsidR="00ED12C5"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2020</w:t>
            </w:r>
          </w:p>
          <w:p w14:paraId="0239CBA0" w14:textId="77777777" w:rsidR="00ED12C5" w:rsidRPr="001B1DFE"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c>
          <w:tcPr>
            <w:tcW w:w="1154" w:type="dxa"/>
            <w:vAlign w:val="bottom"/>
          </w:tcPr>
          <w:p w14:paraId="7E455AC4" w14:textId="77777777" w:rsidR="00ED12C5"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2021</w:t>
            </w:r>
          </w:p>
          <w:p w14:paraId="45B80066" w14:textId="77777777" w:rsidR="00ED12C5" w:rsidRPr="001B1DFE"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w:t>
            </w:r>
          </w:p>
        </w:tc>
        <w:tc>
          <w:tcPr>
            <w:tcW w:w="1403" w:type="dxa"/>
            <w:vAlign w:val="bottom"/>
          </w:tcPr>
          <w:p w14:paraId="3EF428E3" w14:textId="77777777" w:rsidR="00ED12C5"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2020</w:t>
            </w:r>
          </w:p>
          <w:p w14:paraId="37D17285" w14:textId="77777777" w:rsidR="00ED12C5" w:rsidRPr="001B1DFE" w:rsidRDefault="00ED12C5" w:rsidP="00EB3246">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w:t>
            </w:r>
          </w:p>
        </w:tc>
      </w:tr>
      <w:tr w:rsidR="00ED12C5" w14:paraId="7CAD9E23" w14:textId="77777777" w:rsidTr="00EB3246">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52CCE24B" w14:textId="77777777" w:rsidR="00ED12C5" w:rsidRPr="001B1DFE" w:rsidRDefault="00ED12C5" w:rsidP="00EB3246">
            <w:pPr>
              <w:pStyle w:val="TableParagraph"/>
              <w:rPr>
                <w:b w:val="0"/>
                <w:bCs w:val="0"/>
              </w:rPr>
            </w:pPr>
          </w:p>
        </w:tc>
        <w:tc>
          <w:tcPr>
            <w:tcW w:w="1154" w:type="dxa"/>
            <w:vAlign w:val="bottom"/>
          </w:tcPr>
          <w:p w14:paraId="19123C2D" w14:textId="77777777" w:rsidR="00ED12C5" w:rsidRPr="001B1DFE" w:rsidRDefault="00ED12C5" w:rsidP="00EB3246">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137" w:type="dxa"/>
            <w:vAlign w:val="bottom"/>
          </w:tcPr>
          <w:p w14:paraId="6B9B5785" w14:textId="77777777" w:rsidR="00ED12C5" w:rsidRPr="001B1DFE" w:rsidRDefault="00ED12C5" w:rsidP="00EB3246">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154" w:type="dxa"/>
            <w:vAlign w:val="bottom"/>
          </w:tcPr>
          <w:p w14:paraId="41798CF7" w14:textId="77777777" w:rsidR="00ED12C5" w:rsidRPr="001B1DFE" w:rsidRDefault="00ED12C5" w:rsidP="00EB3246">
            <w:pPr>
              <w:pStyle w:val="TableParagraph"/>
              <w:jc w:val="right"/>
              <w:cnfStyle w:val="000000000000" w:firstRow="0" w:lastRow="0" w:firstColumn="0" w:lastColumn="0" w:oddVBand="0" w:evenVBand="0" w:oddHBand="0" w:evenHBand="0" w:firstRowFirstColumn="0" w:firstRowLastColumn="0" w:lastRowFirstColumn="0" w:lastRowLastColumn="0"/>
            </w:pPr>
          </w:p>
        </w:tc>
        <w:tc>
          <w:tcPr>
            <w:tcW w:w="1403" w:type="dxa"/>
            <w:vAlign w:val="bottom"/>
          </w:tcPr>
          <w:p w14:paraId="6F21BF1D" w14:textId="77777777" w:rsidR="00ED12C5" w:rsidRPr="001B1DFE" w:rsidRDefault="00ED12C5" w:rsidP="00EB3246">
            <w:pPr>
              <w:pStyle w:val="TableParagraph"/>
              <w:jc w:val="right"/>
              <w:cnfStyle w:val="000000000000" w:firstRow="0" w:lastRow="0" w:firstColumn="0" w:lastColumn="0" w:oddVBand="0" w:evenVBand="0" w:oddHBand="0" w:evenHBand="0" w:firstRowFirstColumn="0" w:firstRowLastColumn="0" w:lastRowFirstColumn="0" w:lastRowLastColumn="0"/>
            </w:pPr>
          </w:p>
        </w:tc>
      </w:tr>
      <w:tr w:rsidR="00ED12C5" w14:paraId="44215F10" w14:textId="77777777" w:rsidTr="00CA5D7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bottom"/>
          </w:tcPr>
          <w:p w14:paraId="2B98A66B" w14:textId="77777777" w:rsidR="00ED12C5" w:rsidRPr="008D3341" w:rsidRDefault="00ED12C5" w:rsidP="00EB3246">
            <w:pPr>
              <w:pStyle w:val="TableParagraph"/>
              <w:rPr>
                <w:b w:val="0"/>
                <w:bCs w:val="0"/>
              </w:rPr>
            </w:pPr>
            <w:r w:rsidRPr="008D3341">
              <w:rPr>
                <w:rFonts w:ascii="Calibri" w:hAnsi="Calibri" w:cs="Calibri"/>
                <w:b w:val="0"/>
                <w:bCs w:val="0"/>
                <w:sz w:val="20"/>
                <w:szCs w:val="20"/>
              </w:rPr>
              <w:t>Amounts due from subsidiary undertaking</w:t>
            </w:r>
          </w:p>
        </w:tc>
        <w:tc>
          <w:tcPr>
            <w:tcW w:w="1154" w:type="dxa"/>
            <w:vAlign w:val="center"/>
          </w:tcPr>
          <w:p w14:paraId="1A351A89"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t>-</w:t>
            </w:r>
          </w:p>
        </w:tc>
        <w:tc>
          <w:tcPr>
            <w:tcW w:w="1137" w:type="dxa"/>
            <w:vAlign w:val="center"/>
          </w:tcPr>
          <w:p w14:paraId="0247AE13"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t>-</w:t>
            </w:r>
          </w:p>
        </w:tc>
        <w:tc>
          <w:tcPr>
            <w:tcW w:w="1154" w:type="dxa"/>
            <w:vAlign w:val="center"/>
          </w:tcPr>
          <w:p w14:paraId="12EDBA24"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2,211</w:t>
            </w:r>
          </w:p>
        </w:tc>
        <w:tc>
          <w:tcPr>
            <w:tcW w:w="1403" w:type="dxa"/>
            <w:vAlign w:val="center"/>
          </w:tcPr>
          <w:p w14:paraId="450AA323"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t>-</w:t>
            </w:r>
          </w:p>
        </w:tc>
      </w:tr>
      <w:tr w:rsidR="00ED12C5" w14:paraId="66448D15"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vAlign w:val="bottom"/>
          </w:tcPr>
          <w:p w14:paraId="4F48D17D" w14:textId="77777777" w:rsidR="00ED12C5" w:rsidRPr="008D3341" w:rsidRDefault="00ED12C5" w:rsidP="00EB3246">
            <w:pPr>
              <w:pStyle w:val="TableParagraph"/>
              <w:rPr>
                <w:b w:val="0"/>
                <w:bCs w:val="0"/>
              </w:rPr>
            </w:pPr>
            <w:r w:rsidRPr="008D3341">
              <w:rPr>
                <w:rFonts w:ascii="Calibri" w:hAnsi="Calibri" w:cs="Calibri"/>
                <w:b w:val="0"/>
                <w:bCs w:val="0"/>
                <w:sz w:val="20"/>
                <w:szCs w:val="20"/>
              </w:rPr>
              <w:t>Other debtors</w:t>
            </w:r>
          </w:p>
        </w:tc>
        <w:tc>
          <w:tcPr>
            <w:tcW w:w="1154" w:type="dxa"/>
            <w:vAlign w:val="center"/>
          </w:tcPr>
          <w:p w14:paraId="379978BC"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61,981</w:t>
            </w:r>
          </w:p>
        </w:tc>
        <w:tc>
          <w:tcPr>
            <w:tcW w:w="1137" w:type="dxa"/>
            <w:vAlign w:val="center"/>
          </w:tcPr>
          <w:p w14:paraId="15B99359"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27,653</w:t>
            </w:r>
          </w:p>
        </w:tc>
        <w:tc>
          <w:tcPr>
            <w:tcW w:w="1154" w:type="dxa"/>
            <w:vAlign w:val="center"/>
          </w:tcPr>
          <w:p w14:paraId="0B568903"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2,080</w:t>
            </w:r>
          </w:p>
        </w:tc>
        <w:tc>
          <w:tcPr>
            <w:tcW w:w="1403" w:type="dxa"/>
            <w:vAlign w:val="center"/>
          </w:tcPr>
          <w:p w14:paraId="11D2FD1A"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2,915</w:t>
            </w:r>
          </w:p>
        </w:tc>
      </w:tr>
      <w:tr w:rsidR="00ED12C5" w14:paraId="79A53978" w14:textId="77777777" w:rsidTr="00CA5D7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bottom"/>
          </w:tcPr>
          <w:p w14:paraId="6EE55922" w14:textId="77777777" w:rsidR="00ED12C5" w:rsidRPr="008D3341" w:rsidRDefault="00ED12C5" w:rsidP="00EB3246">
            <w:pPr>
              <w:pStyle w:val="TableParagraph"/>
              <w:rPr>
                <w:b w:val="0"/>
                <w:bCs w:val="0"/>
              </w:rPr>
            </w:pPr>
            <w:r w:rsidRPr="008D3341">
              <w:rPr>
                <w:rFonts w:ascii="Calibri" w:hAnsi="Calibri" w:cs="Calibri"/>
                <w:b w:val="0"/>
                <w:bCs w:val="0"/>
                <w:sz w:val="20"/>
                <w:szCs w:val="20"/>
              </w:rPr>
              <w:t>Prepayments</w:t>
            </w:r>
          </w:p>
        </w:tc>
        <w:tc>
          <w:tcPr>
            <w:tcW w:w="1154" w:type="dxa"/>
            <w:vAlign w:val="center"/>
          </w:tcPr>
          <w:p w14:paraId="6F996CE0"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52,907</w:t>
            </w:r>
          </w:p>
        </w:tc>
        <w:tc>
          <w:tcPr>
            <w:tcW w:w="1137" w:type="dxa"/>
            <w:vAlign w:val="center"/>
          </w:tcPr>
          <w:p w14:paraId="6BF2D392"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104,482</w:t>
            </w:r>
          </w:p>
        </w:tc>
        <w:tc>
          <w:tcPr>
            <w:tcW w:w="1154" w:type="dxa"/>
            <w:vAlign w:val="center"/>
          </w:tcPr>
          <w:p w14:paraId="5DAB6E2A"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17,374</w:t>
            </w:r>
          </w:p>
        </w:tc>
        <w:tc>
          <w:tcPr>
            <w:tcW w:w="1403" w:type="dxa"/>
            <w:vAlign w:val="center"/>
          </w:tcPr>
          <w:p w14:paraId="14AE3147"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sz w:val="20"/>
                <w:szCs w:val="20"/>
              </w:rPr>
              <w:t>44,442</w:t>
            </w:r>
          </w:p>
        </w:tc>
      </w:tr>
      <w:tr w:rsidR="00ED12C5" w14:paraId="24D5F188"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vAlign w:val="bottom"/>
          </w:tcPr>
          <w:p w14:paraId="529AB823" w14:textId="77777777" w:rsidR="00ED12C5" w:rsidRPr="008D3341" w:rsidRDefault="00ED12C5" w:rsidP="00EB3246">
            <w:pPr>
              <w:pStyle w:val="TableParagraph"/>
              <w:rPr>
                <w:b w:val="0"/>
                <w:bCs w:val="0"/>
              </w:rPr>
            </w:pPr>
            <w:r w:rsidRPr="008D3341">
              <w:rPr>
                <w:rFonts w:ascii="Calibri" w:hAnsi="Calibri" w:cs="Calibri"/>
                <w:b w:val="0"/>
                <w:bCs w:val="0"/>
                <w:sz w:val="20"/>
                <w:szCs w:val="20"/>
              </w:rPr>
              <w:t>Accrued income</w:t>
            </w:r>
          </w:p>
        </w:tc>
        <w:tc>
          <w:tcPr>
            <w:tcW w:w="1154" w:type="dxa"/>
            <w:vAlign w:val="center"/>
          </w:tcPr>
          <w:p w14:paraId="1497072F"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436,226</w:t>
            </w:r>
          </w:p>
        </w:tc>
        <w:tc>
          <w:tcPr>
            <w:tcW w:w="1137" w:type="dxa"/>
            <w:vAlign w:val="center"/>
          </w:tcPr>
          <w:p w14:paraId="00FB6235"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645,196</w:t>
            </w:r>
          </w:p>
        </w:tc>
        <w:tc>
          <w:tcPr>
            <w:tcW w:w="1154" w:type="dxa"/>
            <w:vAlign w:val="center"/>
          </w:tcPr>
          <w:p w14:paraId="46F32D59"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b/>
                <w:bCs/>
                <w:sz w:val="20"/>
                <w:szCs w:val="20"/>
              </w:rPr>
              <w:t>436,226</w:t>
            </w:r>
          </w:p>
        </w:tc>
        <w:tc>
          <w:tcPr>
            <w:tcW w:w="1403" w:type="dxa"/>
            <w:vAlign w:val="center"/>
          </w:tcPr>
          <w:p w14:paraId="7A1F7B9B"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rPr>
              <w:t>645,196</w:t>
            </w:r>
          </w:p>
        </w:tc>
      </w:tr>
      <w:tr w:rsidR="00ED12C5" w14:paraId="49F91C61" w14:textId="77777777" w:rsidTr="00CA5D7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tcPr>
          <w:p w14:paraId="3E9FAA93" w14:textId="77777777" w:rsidR="00ED12C5" w:rsidRPr="008D3341" w:rsidRDefault="00ED12C5" w:rsidP="00EB3246">
            <w:pPr>
              <w:pStyle w:val="TableParagraph"/>
              <w:rPr>
                <w:b w:val="0"/>
                <w:bCs w:val="0"/>
              </w:rPr>
            </w:pPr>
          </w:p>
        </w:tc>
        <w:tc>
          <w:tcPr>
            <w:tcW w:w="1154" w:type="dxa"/>
            <w:vAlign w:val="center"/>
          </w:tcPr>
          <w:p w14:paraId="0E5F9DC6"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c>
          <w:tcPr>
            <w:tcW w:w="1137" w:type="dxa"/>
            <w:vAlign w:val="center"/>
          </w:tcPr>
          <w:p w14:paraId="05347CA4"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c>
          <w:tcPr>
            <w:tcW w:w="1154" w:type="dxa"/>
            <w:vAlign w:val="center"/>
          </w:tcPr>
          <w:p w14:paraId="499E4C89"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c>
          <w:tcPr>
            <w:tcW w:w="1403" w:type="dxa"/>
            <w:vAlign w:val="center"/>
          </w:tcPr>
          <w:p w14:paraId="58EAFD02" w14:textId="77777777" w:rsidR="00ED12C5" w:rsidRPr="001B1DFE" w:rsidRDefault="00ED12C5" w:rsidP="00CA5D7B">
            <w:pPr>
              <w:pStyle w:val="TableParagraph"/>
              <w:jc w:val="right"/>
              <w:cnfStyle w:val="000000100000" w:firstRow="0" w:lastRow="0" w:firstColumn="0" w:lastColumn="0" w:oddVBand="0" w:evenVBand="0" w:oddHBand="1" w:evenHBand="0" w:firstRowFirstColumn="0" w:firstRowLastColumn="0" w:lastRowFirstColumn="0" w:lastRowLastColumn="0"/>
            </w:pPr>
            <w:r>
              <w:rPr>
                <w:rFonts w:ascii="Calibri" w:hAnsi="Calibri" w:cs="Calibri"/>
                <w:b/>
                <w:bCs/>
                <w:sz w:val="20"/>
                <w:szCs w:val="20"/>
              </w:rPr>
              <w:t> </w:t>
            </w:r>
          </w:p>
        </w:tc>
      </w:tr>
      <w:tr w:rsidR="00ED12C5" w14:paraId="1AFCB7E5" w14:textId="77777777" w:rsidTr="00CA5D7B">
        <w:trPr>
          <w:trHeight w:val="274"/>
        </w:trPr>
        <w:tc>
          <w:tcPr>
            <w:cnfStyle w:val="001000000000" w:firstRow="0" w:lastRow="0" w:firstColumn="1" w:lastColumn="0" w:oddVBand="0" w:evenVBand="0" w:oddHBand="0" w:evenHBand="0" w:firstRowFirstColumn="0" w:firstRowLastColumn="0" w:lastRowFirstColumn="0" w:lastRowLastColumn="0"/>
            <w:tcW w:w="3941" w:type="dxa"/>
          </w:tcPr>
          <w:p w14:paraId="74C2893B" w14:textId="77777777" w:rsidR="00ED12C5" w:rsidRPr="008D3341" w:rsidRDefault="00ED12C5" w:rsidP="00EB3246">
            <w:pPr>
              <w:pStyle w:val="TableParagraph"/>
              <w:rPr>
                <w:b w:val="0"/>
                <w:bCs w:val="0"/>
              </w:rPr>
            </w:pPr>
          </w:p>
        </w:tc>
        <w:tc>
          <w:tcPr>
            <w:tcW w:w="1154" w:type="dxa"/>
            <w:tcBorders>
              <w:top w:val="single" w:sz="4" w:space="0" w:color="auto"/>
              <w:bottom w:val="double" w:sz="4" w:space="0" w:color="auto"/>
            </w:tcBorders>
            <w:vAlign w:val="center"/>
          </w:tcPr>
          <w:p w14:paraId="66178E06" w14:textId="77777777" w:rsidR="00ED12C5" w:rsidRPr="00CA5D7B"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CA5D7B">
              <w:rPr>
                <w:b/>
                <w:bCs/>
              </w:rPr>
              <w:t>551,113</w:t>
            </w:r>
          </w:p>
        </w:tc>
        <w:tc>
          <w:tcPr>
            <w:tcW w:w="1137" w:type="dxa"/>
            <w:tcBorders>
              <w:top w:val="single" w:sz="4" w:space="0" w:color="auto"/>
              <w:bottom w:val="double" w:sz="4" w:space="0" w:color="auto"/>
            </w:tcBorders>
            <w:vAlign w:val="center"/>
          </w:tcPr>
          <w:p w14:paraId="30B0641B"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t>777,332</w:t>
            </w:r>
          </w:p>
        </w:tc>
        <w:tc>
          <w:tcPr>
            <w:tcW w:w="1154" w:type="dxa"/>
            <w:tcBorders>
              <w:top w:val="single" w:sz="4" w:space="0" w:color="auto"/>
              <w:bottom w:val="double" w:sz="4" w:space="0" w:color="auto"/>
            </w:tcBorders>
            <w:vAlign w:val="center"/>
          </w:tcPr>
          <w:p w14:paraId="79FD372C" w14:textId="77777777" w:rsidR="00ED12C5" w:rsidRPr="00CA5D7B"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CA5D7B">
              <w:rPr>
                <w:b/>
                <w:bCs/>
              </w:rPr>
              <w:t>457,891</w:t>
            </w:r>
          </w:p>
        </w:tc>
        <w:tc>
          <w:tcPr>
            <w:tcW w:w="1403" w:type="dxa"/>
            <w:tcBorders>
              <w:top w:val="single" w:sz="4" w:space="0" w:color="auto"/>
              <w:bottom w:val="double" w:sz="4" w:space="0" w:color="auto"/>
            </w:tcBorders>
            <w:vAlign w:val="center"/>
          </w:tcPr>
          <w:p w14:paraId="023A8B40" w14:textId="77777777" w:rsidR="00ED12C5" w:rsidRPr="001B1DFE" w:rsidRDefault="00ED12C5" w:rsidP="00CA5D7B">
            <w:pPr>
              <w:pStyle w:val="TableParagraph"/>
              <w:jc w:val="right"/>
              <w:cnfStyle w:val="000000000000" w:firstRow="0" w:lastRow="0" w:firstColumn="0" w:lastColumn="0" w:oddVBand="0" w:evenVBand="0" w:oddHBand="0" w:evenHBand="0" w:firstRowFirstColumn="0" w:firstRowLastColumn="0" w:lastRowFirstColumn="0" w:lastRowLastColumn="0"/>
            </w:pPr>
            <w:r>
              <w:t>692,554</w:t>
            </w:r>
          </w:p>
        </w:tc>
      </w:tr>
    </w:tbl>
    <w:p w14:paraId="429F8F0F" w14:textId="4984646C" w:rsidR="00ED12C5" w:rsidRDefault="00ED12C5" w:rsidP="00ED12C5">
      <w:pPr>
        <w:pStyle w:val="ListNumber"/>
        <w:numPr>
          <w:ilvl w:val="0"/>
          <w:numId w:val="0"/>
        </w:numPr>
        <w:ind w:left="360" w:hanging="360"/>
      </w:pPr>
    </w:p>
    <w:p w14:paraId="770D57E6" w14:textId="77777777" w:rsidR="00ED12C5" w:rsidRDefault="00ED12C5" w:rsidP="00ED12C5">
      <w:pPr>
        <w:pStyle w:val="ListNumber"/>
        <w:numPr>
          <w:ilvl w:val="0"/>
          <w:numId w:val="0"/>
        </w:numPr>
        <w:ind w:left="360" w:hanging="360"/>
      </w:pPr>
    </w:p>
    <w:p w14:paraId="458CE6F0" w14:textId="77777777" w:rsidR="00ED12C5" w:rsidRDefault="00ED12C5" w:rsidP="00ED12C5">
      <w:pPr>
        <w:pStyle w:val="ListNumber"/>
      </w:pPr>
      <w:r w:rsidRPr="0017512E">
        <w:t>Creditors: amounts falling due within one year</w:t>
      </w:r>
    </w:p>
    <w:p w14:paraId="2960FE9B" w14:textId="77777777" w:rsidR="00ED12C5" w:rsidRDefault="00ED12C5" w:rsidP="00ED12C5">
      <w:pPr>
        <w:pStyle w:val="ListNumber"/>
        <w:numPr>
          <w:ilvl w:val="0"/>
          <w:numId w:val="0"/>
        </w:numPr>
      </w:pPr>
    </w:p>
    <w:tbl>
      <w:tblPr>
        <w:tblStyle w:val="PlainTable4"/>
        <w:tblW w:w="8789" w:type="dxa"/>
        <w:tblLook w:val="04A0" w:firstRow="1" w:lastRow="0" w:firstColumn="1" w:lastColumn="0" w:noHBand="0" w:noVBand="1"/>
      </w:tblPr>
      <w:tblGrid>
        <w:gridCol w:w="3941"/>
        <w:gridCol w:w="1154"/>
        <w:gridCol w:w="1137"/>
        <w:gridCol w:w="1154"/>
        <w:gridCol w:w="1403"/>
      </w:tblGrid>
      <w:tr w:rsidR="008D3341" w14:paraId="048FAFDA" w14:textId="77777777" w:rsidTr="008D3341">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7A3CF0B9" w14:textId="77777777" w:rsidR="008D3341" w:rsidRPr="008D3341" w:rsidRDefault="008D3341" w:rsidP="008D3341">
            <w:pPr>
              <w:rPr>
                <w:b w:val="0"/>
                <w:bCs w:val="0"/>
                <w:sz w:val="18"/>
                <w:szCs w:val="18"/>
              </w:rPr>
            </w:pPr>
          </w:p>
        </w:tc>
        <w:tc>
          <w:tcPr>
            <w:tcW w:w="2291" w:type="dxa"/>
            <w:gridSpan w:val="2"/>
            <w:vAlign w:val="center"/>
          </w:tcPr>
          <w:p w14:paraId="0EEBE0A5" w14:textId="77777777" w:rsidR="008D3341" w:rsidRPr="008D3341" w:rsidRDefault="008D3341" w:rsidP="00A131C9">
            <w:pPr>
              <w:pStyle w:val="TableParagraph"/>
              <w:jc w:val="center"/>
              <w:cnfStyle w:val="100000000000" w:firstRow="1" w:lastRow="0" w:firstColumn="0" w:lastColumn="0" w:oddVBand="0" w:evenVBand="0" w:oddHBand="0" w:evenHBand="0" w:firstRowFirstColumn="0" w:firstRowLastColumn="0" w:lastRowFirstColumn="0" w:lastRowLastColumn="0"/>
              <w:rPr>
                <w:szCs w:val="18"/>
              </w:rPr>
            </w:pPr>
            <w:r w:rsidRPr="008D3341">
              <w:rPr>
                <w:szCs w:val="18"/>
              </w:rPr>
              <w:t>The group</w:t>
            </w:r>
          </w:p>
        </w:tc>
        <w:tc>
          <w:tcPr>
            <w:tcW w:w="2557" w:type="dxa"/>
            <w:gridSpan w:val="2"/>
            <w:vAlign w:val="center"/>
          </w:tcPr>
          <w:p w14:paraId="0A15E21A" w14:textId="77777777" w:rsidR="008D3341" w:rsidRPr="008D3341" w:rsidRDefault="008D3341" w:rsidP="00A131C9">
            <w:pPr>
              <w:pStyle w:val="TableParagraph"/>
              <w:jc w:val="center"/>
              <w:cnfStyle w:val="100000000000" w:firstRow="1" w:lastRow="0" w:firstColumn="0" w:lastColumn="0" w:oddVBand="0" w:evenVBand="0" w:oddHBand="0" w:evenHBand="0" w:firstRowFirstColumn="0" w:firstRowLastColumn="0" w:lastRowFirstColumn="0" w:lastRowLastColumn="0"/>
              <w:rPr>
                <w:szCs w:val="18"/>
              </w:rPr>
            </w:pPr>
            <w:r w:rsidRPr="008D3341">
              <w:rPr>
                <w:szCs w:val="18"/>
              </w:rPr>
              <w:t>The charity</w:t>
            </w:r>
          </w:p>
        </w:tc>
      </w:tr>
      <w:tr w:rsidR="008D3341" w14:paraId="466530B0" w14:textId="77777777" w:rsidTr="008D33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1759FEB6" w14:textId="77777777" w:rsidR="008D3341" w:rsidRPr="008D3341" w:rsidRDefault="008D3341" w:rsidP="008D3341">
            <w:pPr>
              <w:pStyle w:val="TableParagraph"/>
              <w:rPr>
                <w:b w:val="0"/>
                <w:bCs w:val="0"/>
                <w:szCs w:val="18"/>
              </w:rPr>
            </w:pPr>
          </w:p>
        </w:tc>
        <w:tc>
          <w:tcPr>
            <w:tcW w:w="1154" w:type="dxa"/>
            <w:vAlign w:val="center"/>
          </w:tcPr>
          <w:p w14:paraId="728D4EA7" w14:textId="77777777"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rFonts w:cs="Calibri"/>
                <w:b/>
                <w:bCs/>
                <w:szCs w:val="18"/>
              </w:rPr>
            </w:pPr>
            <w:r w:rsidRPr="008D3341">
              <w:rPr>
                <w:rFonts w:cs="Calibri"/>
                <w:b/>
                <w:bCs/>
                <w:szCs w:val="18"/>
              </w:rPr>
              <w:t>2021</w:t>
            </w:r>
          </w:p>
          <w:p w14:paraId="320F41E6" w14:textId="77777777"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w:t>
            </w:r>
          </w:p>
        </w:tc>
        <w:tc>
          <w:tcPr>
            <w:tcW w:w="1137" w:type="dxa"/>
            <w:vAlign w:val="center"/>
          </w:tcPr>
          <w:p w14:paraId="0E5FD752" w14:textId="77777777"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r w:rsidRPr="008D3341">
              <w:rPr>
                <w:rFonts w:cs="Calibri"/>
                <w:szCs w:val="18"/>
              </w:rPr>
              <w:t>2020</w:t>
            </w:r>
          </w:p>
          <w:p w14:paraId="0DD41233" w14:textId="77777777"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w:t>
            </w:r>
          </w:p>
        </w:tc>
        <w:tc>
          <w:tcPr>
            <w:tcW w:w="1154" w:type="dxa"/>
            <w:vAlign w:val="center"/>
          </w:tcPr>
          <w:p w14:paraId="1BCAE4DA" w14:textId="77777777"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rFonts w:cs="Calibri"/>
                <w:b/>
                <w:bCs/>
                <w:szCs w:val="18"/>
              </w:rPr>
            </w:pPr>
            <w:r w:rsidRPr="008D3341">
              <w:rPr>
                <w:rFonts w:cs="Calibri"/>
                <w:b/>
                <w:bCs/>
                <w:szCs w:val="18"/>
              </w:rPr>
              <w:t>2021</w:t>
            </w:r>
          </w:p>
          <w:p w14:paraId="51BA4D1F" w14:textId="77777777"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w:t>
            </w:r>
          </w:p>
        </w:tc>
        <w:tc>
          <w:tcPr>
            <w:tcW w:w="1403" w:type="dxa"/>
            <w:vAlign w:val="center"/>
          </w:tcPr>
          <w:p w14:paraId="732D7480" w14:textId="77777777"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rFonts w:cs="Calibri"/>
                <w:szCs w:val="18"/>
              </w:rPr>
            </w:pPr>
            <w:r w:rsidRPr="008D3341">
              <w:rPr>
                <w:rFonts w:cs="Calibri"/>
                <w:szCs w:val="18"/>
              </w:rPr>
              <w:t>2020</w:t>
            </w:r>
          </w:p>
          <w:p w14:paraId="31DB5553" w14:textId="77777777"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w:t>
            </w:r>
          </w:p>
        </w:tc>
      </w:tr>
      <w:tr w:rsidR="008D3341" w14:paraId="06C1A6F1" w14:textId="77777777" w:rsidTr="008D3341">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33099A1E" w14:textId="77777777" w:rsidR="008D3341" w:rsidRPr="008D3341" w:rsidRDefault="008D3341" w:rsidP="008D3341">
            <w:pPr>
              <w:pStyle w:val="TableParagraph"/>
              <w:rPr>
                <w:b w:val="0"/>
                <w:bCs w:val="0"/>
                <w:szCs w:val="18"/>
              </w:rPr>
            </w:pPr>
          </w:p>
        </w:tc>
        <w:tc>
          <w:tcPr>
            <w:tcW w:w="1154" w:type="dxa"/>
            <w:vAlign w:val="center"/>
          </w:tcPr>
          <w:p w14:paraId="126A43FF" w14:textId="77777777" w:rsidR="008D3341" w:rsidRPr="008D3341" w:rsidRDefault="008D3341" w:rsidP="008D334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37" w:type="dxa"/>
            <w:vAlign w:val="center"/>
          </w:tcPr>
          <w:p w14:paraId="11BF51F9" w14:textId="77777777" w:rsidR="008D3341" w:rsidRPr="008D3341" w:rsidRDefault="008D3341" w:rsidP="008D334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54" w:type="dxa"/>
            <w:vAlign w:val="center"/>
          </w:tcPr>
          <w:p w14:paraId="73B88A1B" w14:textId="77777777" w:rsidR="008D3341" w:rsidRPr="008D3341" w:rsidRDefault="008D3341" w:rsidP="008D334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403" w:type="dxa"/>
            <w:vAlign w:val="center"/>
          </w:tcPr>
          <w:p w14:paraId="0997270C" w14:textId="77777777" w:rsidR="008D3341" w:rsidRPr="008D3341" w:rsidRDefault="008D3341" w:rsidP="008D334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A024B7" w14:paraId="78846EFB" w14:textId="77777777" w:rsidTr="008D33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4E2E2C23" w14:textId="4C7114EA" w:rsidR="00A024B7" w:rsidRPr="00917996" w:rsidRDefault="00A024B7" w:rsidP="00A024B7">
            <w:pPr>
              <w:pStyle w:val="TableParagraph"/>
              <w:rPr>
                <w:b w:val="0"/>
                <w:bCs w:val="0"/>
              </w:rPr>
            </w:pPr>
            <w:r w:rsidRPr="00917996">
              <w:rPr>
                <w:rStyle w:val="Hyperlink"/>
                <w:b w:val="0"/>
                <w:bCs w:val="0"/>
                <w:color w:val="auto"/>
                <w:u w:val="none"/>
              </w:rPr>
              <w:t>Amounts due from subsidiary undertaking</w:t>
            </w:r>
          </w:p>
        </w:tc>
        <w:tc>
          <w:tcPr>
            <w:tcW w:w="1154" w:type="dxa"/>
            <w:vAlign w:val="center"/>
          </w:tcPr>
          <w:p w14:paraId="5C602A95" w14:textId="37D01478"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szCs w:val="18"/>
              </w:rPr>
              <w:t>-</w:t>
            </w:r>
          </w:p>
        </w:tc>
        <w:tc>
          <w:tcPr>
            <w:tcW w:w="1137" w:type="dxa"/>
            <w:vAlign w:val="center"/>
          </w:tcPr>
          <w:p w14:paraId="704E773C" w14:textId="44AE0607"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szCs w:val="18"/>
              </w:rPr>
              <w:t>-</w:t>
            </w:r>
          </w:p>
        </w:tc>
        <w:tc>
          <w:tcPr>
            <w:tcW w:w="1154" w:type="dxa"/>
            <w:vAlign w:val="center"/>
          </w:tcPr>
          <w:p w14:paraId="0D412239" w14:textId="44251FE4"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2,211</w:t>
            </w:r>
          </w:p>
        </w:tc>
        <w:tc>
          <w:tcPr>
            <w:tcW w:w="1403" w:type="dxa"/>
            <w:vAlign w:val="center"/>
          </w:tcPr>
          <w:p w14:paraId="16CAAE11" w14:textId="1950570D"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126,468</w:t>
            </w:r>
          </w:p>
        </w:tc>
      </w:tr>
      <w:tr w:rsidR="00A024B7" w14:paraId="00873F2E" w14:textId="77777777" w:rsidTr="008D3341">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0BA284DA" w14:textId="02A2063E" w:rsidR="00A024B7" w:rsidRPr="00917996" w:rsidRDefault="00A024B7" w:rsidP="00A024B7">
            <w:pPr>
              <w:pStyle w:val="TableParagraph"/>
              <w:rPr>
                <w:b w:val="0"/>
                <w:bCs w:val="0"/>
              </w:rPr>
            </w:pPr>
            <w:r w:rsidRPr="00917996">
              <w:rPr>
                <w:rStyle w:val="Hyperlink"/>
                <w:b w:val="0"/>
                <w:bCs w:val="0"/>
                <w:color w:val="auto"/>
                <w:u w:val="none"/>
              </w:rPr>
              <w:t>Trade creditors</w:t>
            </w:r>
          </w:p>
        </w:tc>
        <w:tc>
          <w:tcPr>
            <w:tcW w:w="1154" w:type="dxa"/>
            <w:vAlign w:val="center"/>
          </w:tcPr>
          <w:p w14:paraId="74CF67CC" w14:textId="71862BDD" w:rsidR="00A024B7" w:rsidRPr="008D3341" w:rsidRDefault="00A024B7" w:rsidP="00A024B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54,706</w:t>
            </w:r>
          </w:p>
        </w:tc>
        <w:tc>
          <w:tcPr>
            <w:tcW w:w="1137" w:type="dxa"/>
            <w:vAlign w:val="center"/>
          </w:tcPr>
          <w:p w14:paraId="53CDFDAF" w14:textId="649B3EC7" w:rsidR="00A024B7" w:rsidRPr="008D3341" w:rsidRDefault="00A024B7" w:rsidP="00A024B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58,522</w:t>
            </w:r>
          </w:p>
        </w:tc>
        <w:tc>
          <w:tcPr>
            <w:tcW w:w="1154" w:type="dxa"/>
            <w:vAlign w:val="center"/>
          </w:tcPr>
          <w:p w14:paraId="208A1717" w14:textId="2BFDCF56" w:rsidR="00A024B7" w:rsidRPr="008D3341" w:rsidRDefault="00A024B7" w:rsidP="00A024B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48,038</w:t>
            </w:r>
          </w:p>
        </w:tc>
        <w:tc>
          <w:tcPr>
            <w:tcW w:w="1403" w:type="dxa"/>
            <w:vAlign w:val="center"/>
          </w:tcPr>
          <w:p w14:paraId="6CA49223" w14:textId="4ED02BFC" w:rsidR="00A024B7" w:rsidRPr="008D3341" w:rsidRDefault="00A024B7" w:rsidP="00A024B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42,568</w:t>
            </w:r>
          </w:p>
        </w:tc>
      </w:tr>
      <w:tr w:rsidR="00A024B7" w14:paraId="0AD7B50C" w14:textId="77777777" w:rsidTr="008D33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5F8F81EE" w14:textId="617C557D" w:rsidR="00A024B7" w:rsidRPr="00917996" w:rsidRDefault="00A024B7" w:rsidP="00A024B7">
            <w:pPr>
              <w:pStyle w:val="TableParagraph"/>
              <w:rPr>
                <w:b w:val="0"/>
                <w:bCs w:val="0"/>
              </w:rPr>
            </w:pPr>
            <w:r w:rsidRPr="00917996">
              <w:rPr>
                <w:rStyle w:val="Hyperlink"/>
                <w:b w:val="0"/>
                <w:bCs w:val="0"/>
                <w:color w:val="auto"/>
                <w:u w:val="none"/>
              </w:rPr>
              <w:t>Taxation and social security</w:t>
            </w:r>
          </w:p>
        </w:tc>
        <w:tc>
          <w:tcPr>
            <w:tcW w:w="1154" w:type="dxa"/>
            <w:vAlign w:val="center"/>
          </w:tcPr>
          <w:p w14:paraId="1F786679" w14:textId="2E791A57"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30,854</w:t>
            </w:r>
          </w:p>
        </w:tc>
        <w:tc>
          <w:tcPr>
            <w:tcW w:w="1137" w:type="dxa"/>
            <w:vAlign w:val="center"/>
          </w:tcPr>
          <w:p w14:paraId="68FFFB2F" w14:textId="11F02806"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65,944</w:t>
            </w:r>
          </w:p>
        </w:tc>
        <w:tc>
          <w:tcPr>
            <w:tcW w:w="1154" w:type="dxa"/>
            <w:vAlign w:val="center"/>
          </w:tcPr>
          <w:p w14:paraId="3F542200" w14:textId="7F02171A"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30,668</w:t>
            </w:r>
          </w:p>
        </w:tc>
        <w:tc>
          <w:tcPr>
            <w:tcW w:w="1403" w:type="dxa"/>
            <w:vAlign w:val="center"/>
          </w:tcPr>
          <w:p w14:paraId="19A9315E" w14:textId="273105CD"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33,949</w:t>
            </w:r>
          </w:p>
        </w:tc>
      </w:tr>
      <w:tr w:rsidR="00A024B7" w14:paraId="594B7C94" w14:textId="77777777" w:rsidTr="008D3341">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1049554B" w14:textId="68ED25D0" w:rsidR="00A024B7" w:rsidRPr="00917996" w:rsidRDefault="00A024B7" w:rsidP="00A024B7">
            <w:pPr>
              <w:pStyle w:val="TableParagraph"/>
              <w:rPr>
                <w:b w:val="0"/>
                <w:bCs w:val="0"/>
              </w:rPr>
            </w:pPr>
            <w:r w:rsidRPr="00917996">
              <w:rPr>
                <w:rStyle w:val="Hyperlink"/>
                <w:b w:val="0"/>
                <w:bCs w:val="0"/>
                <w:color w:val="auto"/>
                <w:u w:val="none"/>
              </w:rPr>
              <w:t xml:space="preserve">Other creditors, </w:t>
            </w:r>
            <w:proofErr w:type="gramStart"/>
            <w:r w:rsidRPr="00917996">
              <w:rPr>
                <w:rStyle w:val="Hyperlink"/>
                <w:b w:val="0"/>
                <w:bCs w:val="0"/>
                <w:color w:val="auto"/>
                <w:u w:val="none"/>
              </w:rPr>
              <w:t>accruals</w:t>
            </w:r>
            <w:proofErr w:type="gramEnd"/>
            <w:r w:rsidRPr="00917996">
              <w:rPr>
                <w:rStyle w:val="Hyperlink"/>
                <w:b w:val="0"/>
                <w:bCs w:val="0"/>
                <w:color w:val="auto"/>
                <w:u w:val="none"/>
              </w:rPr>
              <w:t xml:space="preserve"> and deferred income</w:t>
            </w:r>
          </w:p>
        </w:tc>
        <w:tc>
          <w:tcPr>
            <w:tcW w:w="1154" w:type="dxa"/>
            <w:vAlign w:val="center"/>
          </w:tcPr>
          <w:p w14:paraId="6859E01B" w14:textId="16B84581" w:rsidR="00A024B7" w:rsidRPr="008D3341" w:rsidRDefault="00A024B7" w:rsidP="00A024B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487,682</w:t>
            </w:r>
          </w:p>
        </w:tc>
        <w:tc>
          <w:tcPr>
            <w:tcW w:w="1137" w:type="dxa"/>
            <w:vAlign w:val="center"/>
          </w:tcPr>
          <w:p w14:paraId="5AF75F0C" w14:textId="2E06A5AA" w:rsidR="00A024B7" w:rsidRPr="008D3341" w:rsidRDefault="00A024B7" w:rsidP="00A024B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229,594</w:t>
            </w:r>
          </w:p>
        </w:tc>
        <w:tc>
          <w:tcPr>
            <w:tcW w:w="1154" w:type="dxa"/>
            <w:vAlign w:val="center"/>
          </w:tcPr>
          <w:p w14:paraId="5F063722" w14:textId="6072A034" w:rsidR="00A024B7" w:rsidRPr="008D3341" w:rsidRDefault="00A024B7" w:rsidP="00A024B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b/>
                <w:bCs/>
                <w:szCs w:val="18"/>
              </w:rPr>
              <w:t>344,553</w:t>
            </w:r>
          </w:p>
        </w:tc>
        <w:tc>
          <w:tcPr>
            <w:tcW w:w="1403" w:type="dxa"/>
            <w:vAlign w:val="center"/>
          </w:tcPr>
          <w:p w14:paraId="0C7E0326" w14:textId="1FDE473B" w:rsidR="00A024B7" w:rsidRPr="008D3341" w:rsidRDefault="00A024B7" w:rsidP="00A024B7">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r w:rsidRPr="008D3341">
              <w:rPr>
                <w:rFonts w:cs="Calibri"/>
                <w:szCs w:val="18"/>
              </w:rPr>
              <w:t>74,229</w:t>
            </w:r>
          </w:p>
        </w:tc>
      </w:tr>
      <w:tr w:rsidR="00A024B7" w14:paraId="16E7AC0C" w14:textId="77777777" w:rsidTr="008D33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3FF72750" w14:textId="6CD08948" w:rsidR="00A024B7" w:rsidRPr="00917996" w:rsidRDefault="00A024B7" w:rsidP="00A024B7">
            <w:pPr>
              <w:pStyle w:val="TableParagraph"/>
              <w:rPr>
                <w:b w:val="0"/>
                <w:bCs w:val="0"/>
              </w:rPr>
            </w:pPr>
            <w:r w:rsidRPr="00917996">
              <w:rPr>
                <w:rStyle w:val="Hyperlink"/>
                <w:b w:val="0"/>
                <w:bCs w:val="0"/>
                <w:color w:val="auto"/>
                <w:u w:val="none"/>
              </w:rPr>
              <w:t>Grants payable</w:t>
            </w:r>
          </w:p>
        </w:tc>
        <w:tc>
          <w:tcPr>
            <w:tcW w:w="1154" w:type="dxa"/>
            <w:vAlign w:val="center"/>
          </w:tcPr>
          <w:p w14:paraId="07ABF0F9" w14:textId="12A5FAA0"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358,504</w:t>
            </w:r>
          </w:p>
        </w:tc>
        <w:tc>
          <w:tcPr>
            <w:tcW w:w="1137" w:type="dxa"/>
            <w:vAlign w:val="center"/>
          </w:tcPr>
          <w:p w14:paraId="6A4829D1" w14:textId="4A290445"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778,414</w:t>
            </w:r>
          </w:p>
        </w:tc>
        <w:tc>
          <w:tcPr>
            <w:tcW w:w="1154" w:type="dxa"/>
            <w:vAlign w:val="center"/>
          </w:tcPr>
          <w:p w14:paraId="6D791AF4" w14:textId="3E1CD4B7"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b/>
                <w:bCs/>
                <w:szCs w:val="18"/>
              </w:rPr>
              <w:t>358,504</w:t>
            </w:r>
          </w:p>
        </w:tc>
        <w:tc>
          <w:tcPr>
            <w:tcW w:w="1403" w:type="dxa"/>
            <w:vAlign w:val="center"/>
          </w:tcPr>
          <w:p w14:paraId="5A0BEF49" w14:textId="421887A5" w:rsidR="00A024B7" w:rsidRPr="008D3341" w:rsidRDefault="00A024B7" w:rsidP="00A024B7">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rFonts w:cs="Calibri"/>
                <w:szCs w:val="18"/>
              </w:rPr>
              <w:t>778,414</w:t>
            </w:r>
          </w:p>
        </w:tc>
      </w:tr>
      <w:tr w:rsidR="008D3341" w14:paraId="02EA5F2E" w14:textId="77777777" w:rsidTr="008D3341">
        <w:trPr>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5F203092" w14:textId="77777777" w:rsidR="008D3341" w:rsidRPr="008D3341" w:rsidRDefault="008D3341" w:rsidP="008D3341">
            <w:pPr>
              <w:pStyle w:val="TableParagraph"/>
              <w:rPr>
                <w:b w:val="0"/>
                <w:bCs w:val="0"/>
                <w:szCs w:val="18"/>
              </w:rPr>
            </w:pPr>
          </w:p>
        </w:tc>
        <w:tc>
          <w:tcPr>
            <w:tcW w:w="1154" w:type="dxa"/>
            <w:tcBorders>
              <w:bottom w:val="single" w:sz="4" w:space="0" w:color="auto"/>
            </w:tcBorders>
            <w:vAlign w:val="center"/>
          </w:tcPr>
          <w:p w14:paraId="70F446AC" w14:textId="77777777" w:rsidR="008D3341" w:rsidRPr="008D3341" w:rsidRDefault="008D3341" w:rsidP="008D334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37" w:type="dxa"/>
            <w:tcBorders>
              <w:bottom w:val="single" w:sz="4" w:space="0" w:color="auto"/>
            </w:tcBorders>
            <w:vAlign w:val="center"/>
          </w:tcPr>
          <w:p w14:paraId="66483B6E" w14:textId="77777777" w:rsidR="008D3341" w:rsidRPr="008D3341" w:rsidRDefault="008D3341" w:rsidP="008D334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154" w:type="dxa"/>
            <w:tcBorders>
              <w:bottom w:val="single" w:sz="4" w:space="0" w:color="auto"/>
            </w:tcBorders>
            <w:vAlign w:val="center"/>
          </w:tcPr>
          <w:p w14:paraId="7C1CCA0B" w14:textId="77777777" w:rsidR="008D3341" w:rsidRPr="008D3341" w:rsidRDefault="008D3341" w:rsidP="008D334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c>
          <w:tcPr>
            <w:tcW w:w="1403" w:type="dxa"/>
            <w:tcBorders>
              <w:bottom w:val="single" w:sz="4" w:space="0" w:color="auto"/>
            </w:tcBorders>
            <w:vAlign w:val="center"/>
          </w:tcPr>
          <w:p w14:paraId="777FF517" w14:textId="77777777" w:rsidR="008D3341" w:rsidRPr="008D3341" w:rsidRDefault="008D3341" w:rsidP="008D3341">
            <w:pPr>
              <w:pStyle w:val="TableParagraph"/>
              <w:jc w:val="right"/>
              <w:cnfStyle w:val="000000000000" w:firstRow="0" w:lastRow="0" w:firstColumn="0" w:lastColumn="0" w:oddVBand="0" w:evenVBand="0" w:oddHBand="0" w:evenHBand="0" w:firstRowFirstColumn="0" w:firstRowLastColumn="0" w:lastRowFirstColumn="0" w:lastRowLastColumn="0"/>
              <w:rPr>
                <w:szCs w:val="18"/>
              </w:rPr>
            </w:pPr>
          </w:p>
        </w:tc>
      </w:tr>
      <w:tr w:rsidR="008D3341" w14:paraId="64FB4480" w14:textId="77777777" w:rsidTr="008D33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941" w:type="dxa"/>
            <w:vAlign w:val="center"/>
          </w:tcPr>
          <w:p w14:paraId="50C00ABF" w14:textId="6F34A6F8" w:rsidR="008D3341" w:rsidRPr="008D3341" w:rsidRDefault="008D3341" w:rsidP="008D3341">
            <w:pPr>
              <w:pStyle w:val="TableParagraph"/>
              <w:rPr>
                <w:b w:val="0"/>
                <w:bCs w:val="0"/>
                <w:szCs w:val="18"/>
              </w:rPr>
            </w:pPr>
          </w:p>
        </w:tc>
        <w:tc>
          <w:tcPr>
            <w:tcW w:w="1154" w:type="dxa"/>
            <w:tcBorders>
              <w:top w:val="single" w:sz="4" w:space="0" w:color="auto"/>
              <w:bottom w:val="double" w:sz="4" w:space="0" w:color="auto"/>
            </w:tcBorders>
            <w:vAlign w:val="center"/>
          </w:tcPr>
          <w:p w14:paraId="726918AD" w14:textId="7B6A2DA6" w:rsidR="008D3341" w:rsidRPr="00CA5D7B"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CA5D7B">
              <w:rPr>
                <w:b/>
                <w:bCs/>
                <w:szCs w:val="18"/>
              </w:rPr>
              <w:t>931,745</w:t>
            </w:r>
          </w:p>
        </w:tc>
        <w:tc>
          <w:tcPr>
            <w:tcW w:w="1137" w:type="dxa"/>
            <w:tcBorders>
              <w:top w:val="single" w:sz="4" w:space="0" w:color="auto"/>
              <w:bottom w:val="double" w:sz="4" w:space="0" w:color="auto"/>
            </w:tcBorders>
            <w:vAlign w:val="center"/>
          </w:tcPr>
          <w:p w14:paraId="44E49624" w14:textId="043F8AE0"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szCs w:val="18"/>
              </w:rPr>
              <w:t>1,132,474</w:t>
            </w:r>
          </w:p>
        </w:tc>
        <w:tc>
          <w:tcPr>
            <w:tcW w:w="1154" w:type="dxa"/>
            <w:tcBorders>
              <w:top w:val="single" w:sz="4" w:space="0" w:color="auto"/>
              <w:bottom w:val="double" w:sz="4" w:space="0" w:color="auto"/>
            </w:tcBorders>
            <w:vAlign w:val="center"/>
          </w:tcPr>
          <w:p w14:paraId="1060AF22" w14:textId="6E0ADFC9" w:rsidR="008D3341" w:rsidRPr="00CA5D7B"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b/>
                <w:bCs/>
                <w:szCs w:val="18"/>
              </w:rPr>
            </w:pPr>
            <w:r w:rsidRPr="00CA5D7B">
              <w:rPr>
                <w:b/>
                <w:bCs/>
                <w:szCs w:val="18"/>
              </w:rPr>
              <w:t>781,762</w:t>
            </w:r>
          </w:p>
        </w:tc>
        <w:tc>
          <w:tcPr>
            <w:tcW w:w="1403" w:type="dxa"/>
            <w:tcBorders>
              <w:top w:val="single" w:sz="4" w:space="0" w:color="auto"/>
              <w:bottom w:val="double" w:sz="4" w:space="0" w:color="auto"/>
            </w:tcBorders>
            <w:vAlign w:val="center"/>
          </w:tcPr>
          <w:p w14:paraId="682B6CD6" w14:textId="14E4BBC5" w:rsidR="008D3341" w:rsidRPr="008D3341" w:rsidRDefault="008D3341" w:rsidP="008D3341">
            <w:pPr>
              <w:pStyle w:val="TableParagraph"/>
              <w:jc w:val="right"/>
              <w:cnfStyle w:val="000000100000" w:firstRow="0" w:lastRow="0" w:firstColumn="0" w:lastColumn="0" w:oddVBand="0" w:evenVBand="0" w:oddHBand="1" w:evenHBand="0" w:firstRowFirstColumn="0" w:firstRowLastColumn="0" w:lastRowFirstColumn="0" w:lastRowLastColumn="0"/>
              <w:rPr>
                <w:szCs w:val="18"/>
              </w:rPr>
            </w:pPr>
            <w:r w:rsidRPr="008D3341">
              <w:rPr>
                <w:szCs w:val="18"/>
              </w:rPr>
              <w:t>1055,627</w:t>
            </w:r>
          </w:p>
        </w:tc>
      </w:tr>
    </w:tbl>
    <w:p w14:paraId="6A6DD886" w14:textId="1318895D" w:rsidR="00C74404" w:rsidRDefault="00C74404" w:rsidP="008D3341">
      <w:pPr>
        <w:pStyle w:val="ListNumber"/>
        <w:numPr>
          <w:ilvl w:val="0"/>
          <w:numId w:val="0"/>
        </w:numPr>
      </w:pPr>
    </w:p>
    <w:p w14:paraId="2F5A71DA" w14:textId="77777777" w:rsidR="00C74404" w:rsidRDefault="00C74404" w:rsidP="00C74404">
      <w:pPr>
        <w:pStyle w:val="ListNumber"/>
        <w:numPr>
          <w:ilvl w:val="0"/>
          <w:numId w:val="0"/>
        </w:numPr>
        <w:ind w:left="360" w:hanging="360"/>
      </w:pPr>
    </w:p>
    <w:p w14:paraId="3C0E154B" w14:textId="0353B611" w:rsidR="00C74404" w:rsidRDefault="00C74404" w:rsidP="00C74404">
      <w:pPr>
        <w:pStyle w:val="ListNumber"/>
        <w:numPr>
          <w:ilvl w:val="0"/>
          <w:numId w:val="0"/>
        </w:numPr>
        <w:ind w:left="360" w:hanging="360"/>
      </w:pPr>
    </w:p>
    <w:p w14:paraId="3D7C5928" w14:textId="6675291A" w:rsidR="00C74404" w:rsidRDefault="00C74404" w:rsidP="00C74404">
      <w:pPr>
        <w:pStyle w:val="ListNumber"/>
        <w:numPr>
          <w:ilvl w:val="0"/>
          <w:numId w:val="0"/>
        </w:numPr>
        <w:ind w:left="360" w:hanging="360"/>
      </w:pPr>
    </w:p>
    <w:p w14:paraId="37B6A58F" w14:textId="77777777" w:rsidR="00C74404" w:rsidRDefault="00C74404" w:rsidP="00C74404">
      <w:pPr>
        <w:pStyle w:val="ListNumber"/>
        <w:numPr>
          <w:ilvl w:val="0"/>
          <w:numId w:val="0"/>
        </w:numPr>
        <w:ind w:left="360" w:hanging="360"/>
      </w:pPr>
    </w:p>
    <w:p w14:paraId="6DCFE377" w14:textId="4D242E3D" w:rsidR="0017512E" w:rsidRDefault="0017512E" w:rsidP="0017512E">
      <w:pPr>
        <w:pStyle w:val="ListNumber"/>
      </w:pPr>
      <w:r w:rsidRPr="0017512E">
        <w:t>Creditors: amounts falling due after one year</w:t>
      </w:r>
    </w:p>
    <w:p w14:paraId="000EB4AE" w14:textId="4F361482" w:rsidR="00C74404" w:rsidRDefault="00C74404" w:rsidP="00C74404">
      <w:pPr>
        <w:pStyle w:val="ListNumber"/>
        <w:numPr>
          <w:ilvl w:val="0"/>
          <w:numId w:val="0"/>
        </w:numPr>
        <w:ind w:left="360" w:hanging="360"/>
      </w:pPr>
    </w:p>
    <w:tbl>
      <w:tblPr>
        <w:tblStyle w:val="PlainTable4"/>
        <w:tblW w:w="8789" w:type="dxa"/>
        <w:tblLook w:val="04A0" w:firstRow="1" w:lastRow="0" w:firstColumn="1" w:lastColumn="0" w:noHBand="0" w:noVBand="1"/>
      </w:tblPr>
      <w:tblGrid>
        <w:gridCol w:w="6521"/>
        <w:gridCol w:w="992"/>
        <w:gridCol w:w="1276"/>
      </w:tblGrid>
      <w:tr w:rsidR="00475192" w:rsidRPr="00CA5D7B" w14:paraId="532811B6" w14:textId="77777777" w:rsidTr="0047519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7D0B04C9" w14:textId="77777777" w:rsidR="00475192" w:rsidRPr="00475192" w:rsidRDefault="00475192" w:rsidP="00475192">
            <w:pPr>
              <w:pStyle w:val="TableParagraph"/>
            </w:pPr>
          </w:p>
        </w:tc>
        <w:tc>
          <w:tcPr>
            <w:tcW w:w="992" w:type="dxa"/>
            <w:vAlign w:val="bottom"/>
          </w:tcPr>
          <w:p w14:paraId="516CEB90" w14:textId="77777777" w:rsidR="00475192" w:rsidRPr="00475192" w:rsidRDefault="00475192" w:rsidP="0047519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475192">
              <w:t>2021</w:t>
            </w:r>
          </w:p>
          <w:p w14:paraId="5A95CBCD" w14:textId="77777777" w:rsidR="00475192" w:rsidRPr="00475192" w:rsidRDefault="00475192" w:rsidP="0047519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475192">
              <w:t>£</w:t>
            </w:r>
          </w:p>
        </w:tc>
        <w:tc>
          <w:tcPr>
            <w:tcW w:w="1276" w:type="dxa"/>
            <w:vAlign w:val="bottom"/>
          </w:tcPr>
          <w:p w14:paraId="3FB8652B" w14:textId="77777777" w:rsidR="00475192" w:rsidRPr="00CA5D7B" w:rsidRDefault="00475192" w:rsidP="0047519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A5D7B">
              <w:rPr>
                <w:b w:val="0"/>
                <w:bCs w:val="0"/>
              </w:rPr>
              <w:t>2020</w:t>
            </w:r>
          </w:p>
          <w:p w14:paraId="200DF977" w14:textId="77777777" w:rsidR="00475192" w:rsidRPr="00CA5D7B" w:rsidRDefault="00475192" w:rsidP="00475192">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CA5D7B">
              <w:rPr>
                <w:b w:val="0"/>
                <w:bCs w:val="0"/>
              </w:rPr>
              <w:t>£</w:t>
            </w:r>
          </w:p>
        </w:tc>
      </w:tr>
      <w:tr w:rsidR="00475192" w:rsidRPr="00475192" w14:paraId="20D1B20E"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433C57E5" w14:textId="77777777" w:rsidR="00475192" w:rsidRPr="00475192" w:rsidRDefault="00475192" w:rsidP="003F3556">
            <w:pPr>
              <w:pStyle w:val="TableParagraph"/>
            </w:pPr>
          </w:p>
        </w:tc>
        <w:tc>
          <w:tcPr>
            <w:tcW w:w="992" w:type="dxa"/>
            <w:vAlign w:val="center"/>
          </w:tcPr>
          <w:p w14:paraId="0DEEE211" w14:textId="77777777"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20636977" w14:textId="77777777"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475192" w:rsidRPr="00475192" w14:paraId="1B2C97E2"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27A882ED" w14:textId="209AB32A" w:rsidR="00475192" w:rsidRPr="00475192" w:rsidRDefault="00475192" w:rsidP="003F3556">
            <w:pPr>
              <w:pStyle w:val="TableParagraph"/>
            </w:pPr>
            <w:r w:rsidRPr="00475192">
              <w:t>Group</w:t>
            </w:r>
          </w:p>
        </w:tc>
        <w:tc>
          <w:tcPr>
            <w:tcW w:w="992" w:type="dxa"/>
            <w:vAlign w:val="center"/>
          </w:tcPr>
          <w:p w14:paraId="51F7BDDE" w14:textId="741E92E1"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475192">
              <w:rPr>
                <w:b/>
                <w:bCs/>
              </w:rPr>
              <w:t>90,000</w:t>
            </w:r>
          </w:p>
        </w:tc>
        <w:tc>
          <w:tcPr>
            <w:tcW w:w="1276" w:type="dxa"/>
            <w:vAlign w:val="center"/>
          </w:tcPr>
          <w:p w14:paraId="283BDA25" w14:textId="4104E284" w:rsidR="00475192" w:rsidRPr="00475192" w:rsidRDefault="00934EAA" w:rsidP="003F3556">
            <w:pPr>
              <w:pStyle w:val="TableParagraph"/>
              <w:jc w:val="right"/>
              <w:cnfStyle w:val="000000000000" w:firstRow="0" w:lastRow="0" w:firstColumn="0" w:lastColumn="0" w:oddVBand="0" w:evenVBand="0" w:oddHBand="0" w:evenHBand="0" w:firstRowFirstColumn="0" w:firstRowLastColumn="0" w:lastRowFirstColumn="0" w:lastRowLastColumn="0"/>
            </w:pPr>
            <w:r>
              <w:t>18</w:t>
            </w:r>
            <w:r w:rsidR="00475192" w:rsidRPr="00475192">
              <w:t>0,000</w:t>
            </w:r>
          </w:p>
        </w:tc>
      </w:tr>
      <w:tr w:rsidR="00475192" w:rsidRPr="00475192" w14:paraId="5F264F83"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18CB75CC" w14:textId="5DCBBB34" w:rsidR="00475192" w:rsidRPr="00475192" w:rsidRDefault="00475192" w:rsidP="003F3556">
            <w:pPr>
              <w:pStyle w:val="TableParagraph"/>
              <w:rPr>
                <w:b w:val="0"/>
                <w:bCs w:val="0"/>
              </w:rPr>
            </w:pPr>
            <w:r w:rsidRPr="00475192">
              <w:rPr>
                <w:b w:val="0"/>
                <w:bCs w:val="0"/>
              </w:rPr>
              <w:t>Grants payable within 1-2 years</w:t>
            </w:r>
          </w:p>
        </w:tc>
        <w:tc>
          <w:tcPr>
            <w:tcW w:w="992" w:type="dxa"/>
            <w:vAlign w:val="center"/>
          </w:tcPr>
          <w:p w14:paraId="42A0836E" w14:textId="1768B46E"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475192">
              <w:rPr>
                <w:b/>
                <w:bCs/>
              </w:rPr>
              <w:t>106,457</w:t>
            </w:r>
          </w:p>
        </w:tc>
        <w:tc>
          <w:tcPr>
            <w:tcW w:w="1276" w:type="dxa"/>
            <w:vAlign w:val="center"/>
          </w:tcPr>
          <w:p w14:paraId="22DEF9EA" w14:textId="4F7B898E" w:rsidR="00475192" w:rsidRPr="00475192" w:rsidRDefault="00934EAA" w:rsidP="003F3556">
            <w:pPr>
              <w:pStyle w:val="TableParagraph"/>
              <w:jc w:val="right"/>
              <w:cnfStyle w:val="000000100000" w:firstRow="0" w:lastRow="0" w:firstColumn="0" w:lastColumn="0" w:oddVBand="0" w:evenVBand="0" w:oddHBand="1" w:evenHBand="0" w:firstRowFirstColumn="0" w:firstRowLastColumn="0" w:lastRowFirstColumn="0" w:lastRowLastColumn="0"/>
            </w:pPr>
            <w:r>
              <w:t>133,166</w:t>
            </w:r>
          </w:p>
        </w:tc>
      </w:tr>
      <w:tr w:rsidR="00475192" w:rsidRPr="00475192" w14:paraId="0C8412C5"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5BC535B2" w14:textId="02E1C600" w:rsidR="00475192" w:rsidRPr="00475192" w:rsidRDefault="00475192" w:rsidP="003F3556">
            <w:pPr>
              <w:pStyle w:val="TableParagraph"/>
              <w:rPr>
                <w:b w:val="0"/>
                <w:bCs w:val="0"/>
              </w:rPr>
            </w:pPr>
            <w:r w:rsidRPr="00475192">
              <w:rPr>
                <w:b w:val="0"/>
                <w:bCs w:val="0"/>
              </w:rPr>
              <w:t>Dilapidation provision</w:t>
            </w:r>
          </w:p>
        </w:tc>
        <w:tc>
          <w:tcPr>
            <w:tcW w:w="992" w:type="dxa"/>
            <w:vAlign w:val="center"/>
          </w:tcPr>
          <w:p w14:paraId="59E1776A" w14:textId="4720BAF3"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475192">
              <w:rPr>
                <w:b/>
                <w:bCs/>
              </w:rPr>
              <w:t> </w:t>
            </w:r>
          </w:p>
        </w:tc>
        <w:tc>
          <w:tcPr>
            <w:tcW w:w="1276" w:type="dxa"/>
            <w:vAlign w:val="center"/>
          </w:tcPr>
          <w:p w14:paraId="39AF134C" w14:textId="26CED45D"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pPr>
            <w:r w:rsidRPr="00475192">
              <w:t> </w:t>
            </w:r>
          </w:p>
        </w:tc>
      </w:tr>
      <w:tr w:rsidR="00475192" w:rsidRPr="00475192" w14:paraId="611DCA57"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41D0BFF8" w14:textId="2A75927E" w:rsidR="00475192" w:rsidRPr="00475192" w:rsidRDefault="00475192" w:rsidP="003F3556">
            <w:pPr>
              <w:pStyle w:val="TableParagraph"/>
              <w:rPr>
                <w:b w:val="0"/>
                <w:bCs w:val="0"/>
              </w:rPr>
            </w:pPr>
          </w:p>
        </w:tc>
        <w:tc>
          <w:tcPr>
            <w:tcW w:w="992" w:type="dxa"/>
            <w:tcBorders>
              <w:bottom w:val="single" w:sz="4" w:space="0" w:color="auto"/>
            </w:tcBorders>
            <w:vAlign w:val="center"/>
          </w:tcPr>
          <w:p w14:paraId="7679CA80" w14:textId="4DB0D956"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rPr>
                <w:b/>
                <w:bCs/>
              </w:rPr>
            </w:pPr>
          </w:p>
        </w:tc>
        <w:tc>
          <w:tcPr>
            <w:tcW w:w="1276" w:type="dxa"/>
            <w:tcBorders>
              <w:bottom w:val="single" w:sz="4" w:space="0" w:color="auto"/>
            </w:tcBorders>
            <w:vAlign w:val="center"/>
          </w:tcPr>
          <w:p w14:paraId="395A87F0" w14:textId="67B5B139"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475192" w:rsidRPr="00475192" w14:paraId="4E2A1C8B"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6623651D" w14:textId="77777777" w:rsidR="00475192" w:rsidRPr="00475192" w:rsidRDefault="00475192" w:rsidP="003F3556">
            <w:pPr>
              <w:pStyle w:val="TableParagraph"/>
              <w:rPr>
                <w:b w:val="0"/>
                <w:bCs w:val="0"/>
              </w:rPr>
            </w:pPr>
          </w:p>
        </w:tc>
        <w:tc>
          <w:tcPr>
            <w:tcW w:w="992" w:type="dxa"/>
            <w:tcBorders>
              <w:top w:val="single" w:sz="4" w:space="0" w:color="auto"/>
              <w:bottom w:val="double" w:sz="4" w:space="0" w:color="auto"/>
            </w:tcBorders>
            <w:vAlign w:val="center"/>
          </w:tcPr>
          <w:p w14:paraId="3B78883B" w14:textId="148EA903"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475192">
              <w:rPr>
                <w:b/>
                <w:bCs/>
              </w:rPr>
              <w:t>196,457</w:t>
            </w:r>
          </w:p>
        </w:tc>
        <w:tc>
          <w:tcPr>
            <w:tcW w:w="1276" w:type="dxa"/>
            <w:tcBorders>
              <w:top w:val="single" w:sz="4" w:space="0" w:color="auto"/>
              <w:bottom w:val="double" w:sz="4" w:space="0" w:color="auto"/>
            </w:tcBorders>
            <w:vAlign w:val="center"/>
          </w:tcPr>
          <w:p w14:paraId="1A0F0B1D" w14:textId="02E48F69" w:rsidR="00475192" w:rsidRPr="00475192" w:rsidRDefault="00934EAA" w:rsidP="003F3556">
            <w:pPr>
              <w:pStyle w:val="TableParagraph"/>
              <w:jc w:val="right"/>
              <w:cnfStyle w:val="000000000000" w:firstRow="0" w:lastRow="0" w:firstColumn="0" w:lastColumn="0" w:oddVBand="0" w:evenVBand="0" w:oddHBand="0" w:evenHBand="0" w:firstRowFirstColumn="0" w:firstRowLastColumn="0" w:lastRowFirstColumn="0" w:lastRowLastColumn="0"/>
            </w:pPr>
            <w:r>
              <w:t>313,166</w:t>
            </w:r>
          </w:p>
        </w:tc>
      </w:tr>
      <w:tr w:rsidR="00475192" w:rsidRPr="00475192" w14:paraId="498C1F72"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098F68BD" w14:textId="0774B7D4" w:rsidR="00475192" w:rsidRPr="00475192" w:rsidRDefault="00475192" w:rsidP="003F3556">
            <w:pPr>
              <w:pStyle w:val="TableParagraph"/>
              <w:rPr>
                <w:b w:val="0"/>
                <w:bCs w:val="0"/>
              </w:rPr>
            </w:pPr>
            <w:r w:rsidRPr="00475192">
              <w:rPr>
                <w:b w:val="0"/>
                <w:bCs w:val="0"/>
              </w:rPr>
              <w:t xml:space="preserve">Dilapidation provision </w:t>
            </w:r>
          </w:p>
        </w:tc>
        <w:tc>
          <w:tcPr>
            <w:tcW w:w="992" w:type="dxa"/>
            <w:tcBorders>
              <w:top w:val="double" w:sz="4" w:space="0" w:color="auto"/>
            </w:tcBorders>
            <w:vAlign w:val="center"/>
          </w:tcPr>
          <w:p w14:paraId="50608A31" w14:textId="3FF699BA"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rPr>
                <w:b/>
                <w:bCs/>
              </w:rPr>
            </w:pPr>
          </w:p>
        </w:tc>
        <w:tc>
          <w:tcPr>
            <w:tcW w:w="1276" w:type="dxa"/>
            <w:tcBorders>
              <w:top w:val="double" w:sz="4" w:space="0" w:color="auto"/>
            </w:tcBorders>
            <w:vAlign w:val="center"/>
          </w:tcPr>
          <w:p w14:paraId="22A25B0F" w14:textId="77777777"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475192" w:rsidRPr="00475192" w14:paraId="0062EAA0"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70DC4D17" w14:textId="23BCE3C2" w:rsidR="00475192" w:rsidRPr="00475192" w:rsidRDefault="00475192" w:rsidP="003F3556">
            <w:pPr>
              <w:pStyle w:val="TableParagraph"/>
              <w:rPr>
                <w:b w:val="0"/>
                <w:bCs w:val="0"/>
              </w:rPr>
            </w:pPr>
            <w:r w:rsidRPr="00475192">
              <w:rPr>
                <w:b w:val="0"/>
                <w:bCs w:val="0"/>
              </w:rPr>
              <w:t>Balance brought forward</w:t>
            </w:r>
          </w:p>
        </w:tc>
        <w:tc>
          <w:tcPr>
            <w:tcW w:w="992" w:type="dxa"/>
            <w:vAlign w:val="center"/>
          </w:tcPr>
          <w:p w14:paraId="2FB8BA71" w14:textId="131B4B56"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475192">
              <w:rPr>
                <w:b/>
                <w:bCs/>
              </w:rPr>
              <w:t>133,166</w:t>
            </w:r>
          </w:p>
        </w:tc>
        <w:tc>
          <w:tcPr>
            <w:tcW w:w="1276" w:type="dxa"/>
            <w:vAlign w:val="center"/>
          </w:tcPr>
          <w:p w14:paraId="5CD55D23" w14:textId="70822B82"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pPr>
            <w:r w:rsidRPr="00475192">
              <w:t>143,165</w:t>
            </w:r>
          </w:p>
        </w:tc>
      </w:tr>
      <w:tr w:rsidR="00475192" w:rsidRPr="00475192" w14:paraId="279F3A58"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57822F71" w14:textId="77777777" w:rsidR="00475192" w:rsidRPr="00475192" w:rsidRDefault="00475192" w:rsidP="003F3556">
            <w:pPr>
              <w:pStyle w:val="TableParagraph"/>
              <w:rPr>
                <w:b w:val="0"/>
                <w:bCs w:val="0"/>
              </w:rPr>
            </w:pPr>
          </w:p>
        </w:tc>
        <w:tc>
          <w:tcPr>
            <w:tcW w:w="992" w:type="dxa"/>
            <w:vAlign w:val="center"/>
          </w:tcPr>
          <w:p w14:paraId="0359277C" w14:textId="0FF053D5"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rPr>
                <w:b/>
                <w:bCs/>
              </w:rPr>
            </w:pPr>
          </w:p>
        </w:tc>
        <w:tc>
          <w:tcPr>
            <w:tcW w:w="1276" w:type="dxa"/>
            <w:vAlign w:val="center"/>
          </w:tcPr>
          <w:p w14:paraId="0E4C7E8A" w14:textId="16AD4302"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475192" w:rsidRPr="00475192" w14:paraId="570510A0"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4EE868BC" w14:textId="207A559B" w:rsidR="00475192" w:rsidRPr="00475192" w:rsidRDefault="00475192" w:rsidP="003F3556">
            <w:pPr>
              <w:pStyle w:val="TableParagraph"/>
              <w:rPr>
                <w:b w:val="0"/>
                <w:bCs w:val="0"/>
              </w:rPr>
            </w:pPr>
            <w:r w:rsidRPr="00475192">
              <w:rPr>
                <w:b w:val="0"/>
                <w:bCs w:val="0"/>
              </w:rPr>
              <w:t>(Decrease)/increase in provision</w:t>
            </w:r>
          </w:p>
        </w:tc>
        <w:tc>
          <w:tcPr>
            <w:tcW w:w="992" w:type="dxa"/>
            <w:vAlign w:val="center"/>
          </w:tcPr>
          <w:p w14:paraId="7D553654" w14:textId="57A08BD5"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475192">
              <w:rPr>
                <w:b/>
                <w:bCs/>
              </w:rPr>
              <w:t>(26,709)</w:t>
            </w:r>
          </w:p>
        </w:tc>
        <w:tc>
          <w:tcPr>
            <w:tcW w:w="1276" w:type="dxa"/>
            <w:vAlign w:val="center"/>
          </w:tcPr>
          <w:p w14:paraId="49121D91" w14:textId="4B497523"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pPr>
            <w:r w:rsidRPr="00475192">
              <w:t>(9,999)</w:t>
            </w:r>
          </w:p>
        </w:tc>
      </w:tr>
      <w:tr w:rsidR="00475192" w:rsidRPr="00475192" w14:paraId="41AB4F4A"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0819D134" w14:textId="6195BF69" w:rsidR="00475192" w:rsidRPr="00475192" w:rsidRDefault="00475192" w:rsidP="003F3556">
            <w:pPr>
              <w:pStyle w:val="TableParagraph"/>
              <w:rPr>
                <w:b w:val="0"/>
                <w:bCs w:val="0"/>
              </w:rPr>
            </w:pPr>
          </w:p>
        </w:tc>
        <w:tc>
          <w:tcPr>
            <w:tcW w:w="992" w:type="dxa"/>
            <w:tcBorders>
              <w:bottom w:val="single" w:sz="4" w:space="0" w:color="auto"/>
            </w:tcBorders>
            <w:vAlign w:val="center"/>
          </w:tcPr>
          <w:p w14:paraId="23F1AAB0" w14:textId="2F942680"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rPr>
                <w:b/>
                <w:bCs/>
              </w:rPr>
            </w:pPr>
          </w:p>
        </w:tc>
        <w:tc>
          <w:tcPr>
            <w:tcW w:w="1276" w:type="dxa"/>
            <w:tcBorders>
              <w:bottom w:val="single" w:sz="4" w:space="0" w:color="auto"/>
            </w:tcBorders>
            <w:vAlign w:val="center"/>
          </w:tcPr>
          <w:p w14:paraId="092DEB5F" w14:textId="6BC2E9E7" w:rsidR="00475192" w:rsidRPr="00475192" w:rsidRDefault="00475192" w:rsidP="003F3556">
            <w:pPr>
              <w:pStyle w:val="TableParagraph"/>
              <w:jc w:val="right"/>
              <w:cnfStyle w:val="000000100000" w:firstRow="0" w:lastRow="0" w:firstColumn="0" w:lastColumn="0" w:oddVBand="0" w:evenVBand="0" w:oddHBand="1" w:evenHBand="0" w:firstRowFirstColumn="0" w:firstRowLastColumn="0" w:lastRowFirstColumn="0" w:lastRowLastColumn="0"/>
            </w:pPr>
          </w:p>
        </w:tc>
      </w:tr>
      <w:tr w:rsidR="00475192" w:rsidRPr="00475192" w14:paraId="1883C9AA"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785BB8DE" w14:textId="7A22E925" w:rsidR="00475192" w:rsidRPr="00475192" w:rsidRDefault="00475192" w:rsidP="003F3556">
            <w:pPr>
              <w:pStyle w:val="TableParagraph"/>
              <w:rPr>
                <w:b w:val="0"/>
                <w:bCs w:val="0"/>
              </w:rPr>
            </w:pPr>
            <w:r w:rsidRPr="00475192">
              <w:rPr>
                <w:b w:val="0"/>
                <w:bCs w:val="0"/>
              </w:rPr>
              <w:t>Balance brought forward and carried forward</w:t>
            </w:r>
          </w:p>
        </w:tc>
        <w:tc>
          <w:tcPr>
            <w:tcW w:w="992" w:type="dxa"/>
            <w:tcBorders>
              <w:top w:val="single" w:sz="4" w:space="0" w:color="auto"/>
              <w:bottom w:val="double" w:sz="4" w:space="0" w:color="auto"/>
            </w:tcBorders>
            <w:vAlign w:val="center"/>
          </w:tcPr>
          <w:p w14:paraId="18D3AFF2" w14:textId="40A45D89"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475192">
              <w:rPr>
                <w:b/>
                <w:bCs/>
              </w:rPr>
              <w:t>106,457</w:t>
            </w:r>
          </w:p>
        </w:tc>
        <w:tc>
          <w:tcPr>
            <w:tcW w:w="1276" w:type="dxa"/>
            <w:tcBorders>
              <w:top w:val="single" w:sz="4" w:space="0" w:color="auto"/>
              <w:bottom w:val="double" w:sz="4" w:space="0" w:color="auto"/>
            </w:tcBorders>
            <w:vAlign w:val="center"/>
          </w:tcPr>
          <w:p w14:paraId="0C118E11" w14:textId="7CA51F71" w:rsidR="00475192" w:rsidRPr="00475192" w:rsidRDefault="00475192" w:rsidP="003F3556">
            <w:pPr>
              <w:pStyle w:val="TableParagraph"/>
              <w:jc w:val="right"/>
              <w:cnfStyle w:val="000000000000" w:firstRow="0" w:lastRow="0" w:firstColumn="0" w:lastColumn="0" w:oddVBand="0" w:evenVBand="0" w:oddHBand="0" w:evenHBand="0" w:firstRowFirstColumn="0" w:firstRowLastColumn="0" w:lastRowFirstColumn="0" w:lastRowLastColumn="0"/>
            </w:pPr>
            <w:r w:rsidRPr="00475192">
              <w:t>133,166</w:t>
            </w:r>
          </w:p>
        </w:tc>
      </w:tr>
    </w:tbl>
    <w:p w14:paraId="68BD99E4" w14:textId="4CC59F10" w:rsidR="00C74404" w:rsidRDefault="00C74404" w:rsidP="00C74404">
      <w:pPr>
        <w:pStyle w:val="ListNumber"/>
        <w:numPr>
          <w:ilvl w:val="0"/>
          <w:numId w:val="0"/>
        </w:numPr>
        <w:ind w:left="360" w:hanging="360"/>
      </w:pPr>
    </w:p>
    <w:p w14:paraId="5473FD7B" w14:textId="77777777" w:rsidR="00C74404" w:rsidRDefault="00C74404" w:rsidP="00C74404">
      <w:pPr>
        <w:pStyle w:val="ListNumber"/>
        <w:numPr>
          <w:ilvl w:val="0"/>
          <w:numId w:val="0"/>
        </w:numPr>
        <w:ind w:left="360" w:hanging="360"/>
      </w:pPr>
    </w:p>
    <w:p w14:paraId="010D0689" w14:textId="525B8914" w:rsidR="0017512E" w:rsidRDefault="0017512E" w:rsidP="0017512E">
      <w:pPr>
        <w:pStyle w:val="ListNumber"/>
      </w:pPr>
      <w:r w:rsidRPr="0017512E">
        <w:t>Vision Foundation Flexible Retirement Plan</w:t>
      </w:r>
    </w:p>
    <w:p w14:paraId="1CA6945E" w14:textId="740455B4" w:rsidR="00C74404" w:rsidRPr="00C87723" w:rsidRDefault="00C87723" w:rsidP="00C87723">
      <w:pPr>
        <w:pStyle w:val="TableParagraph"/>
      </w:pPr>
      <w:r w:rsidRPr="00C87723">
        <w:t>The Charity and its Trading subsidiary participate in an occupational defined contribution scheme, which is open to staff and is a qualifying pension scheme for auto-enrolment purposes. All eligible employees joined this scheme from the staging date of 1 March 2016. The Charity and its subsidiary performed a statutory re-</w:t>
      </w:r>
      <w:proofErr w:type="spellStart"/>
      <w:r w:rsidRPr="00C87723">
        <w:t>enrollment</w:t>
      </w:r>
      <w:proofErr w:type="spellEnd"/>
      <w:r w:rsidRPr="00C87723">
        <w:t xml:space="preserve"> staging date </w:t>
      </w:r>
      <w:proofErr w:type="gramStart"/>
      <w:r w:rsidRPr="00C87723">
        <w:t>at</w:t>
      </w:r>
      <w:proofErr w:type="gramEnd"/>
      <w:r w:rsidRPr="00C87723">
        <w:t xml:space="preserve"> 1st April 2019.</w:t>
      </w:r>
    </w:p>
    <w:p w14:paraId="54C3D949" w14:textId="7873AFC4" w:rsidR="00C74404" w:rsidRDefault="00C74404" w:rsidP="00C74404">
      <w:pPr>
        <w:pStyle w:val="ListNumber"/>
        <w:numPr>
          <w:ilvl w:val="0"/>
          <w:numId w:val="0"/>
        </w:numPr>
        <w:ind w:left="360" w:hanging="360"/>
      </w:pPr>
    </w:p>
    <w:p w14:paraId="092AE1C6" w14:textId="77777777" w:rsidR="00C74404" w:rsidRDefault="00C74404" w:rsidP="00C74404">
      <w:pPr>
        <w:pStyle w:val="ListNumber"/>
        <w:numPr>
          <w:ilvl w:val="0"/>
          <w:numId w:val="0"/>
        </w:numPr>
        <w:ind w:left="360" w:hanging="360"/>
      </w:pPr>
    </w:p>
    <w:p w14:paraId="6FB30E69" w14:textId="1ECD95FA" w:rsidR="0017512E" w:rsidRDefault="0017512E" w:rsidP="0017512E">
      <w:pPr>
        <w:pStyle w:val="ListNumber"/>
      </w:pPr>
      <w:r w:rsidRPr="0017512E">
        <w:t>Analysis of group net assets between funds (current year)</w:t>
      </w:r>
    </w:p>
    <w:p w14:paraId="4FFF6692" w14:textId="77777777" w:rsidR="00C87723" w:rsidRDefault="00C87723" w:rsidP="00C87723">
      <w:pPr>
        <w:pStyle w:val="ListNumber"/>
        <w:numPr>
          <w:ilvl w:val="0"/>
          <w:numId w:val="0"/>
        </w:numPr>
        <w:ind w:left="360"/>
      </w:pPr>
    </w:p>
    <w:tbl>
      <w:tblPr>
        <w:tblStyle w:val="PlainTable4"/>
        <w:tblW w:w="8965" w:type="dxa"/>
        <w:tblLook w:val="04A0" w:firstRow="1" w:lastRow="0" w:firstColumn="1" w:lastColumn="0" w:noHBand="0" w:noVBand="1"/>
      </w:tblPr>
      <w:tblGrid>
        <w:gridCol w:w="4825"/>
        <w:gridCol w:w="1113"/>
        <w:gridCol w:w="1073"/>
        <w:gridCol w:w="960"/>
        <w:gridCol w:w="994"/>
      </w:tblGrid>
      <w:tr w:rsidR="00A752BE" w:rsidRPr="00C87723" w14:paraId="3B2538E5" w14:textId="77777777" w:rsidTr="00CA5D7B">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30" w:type="dxa"/>
            <w:vAlign w:val="center"/>
          </w:tcPr>
          <w:p w14:paraId="18EC5AE4" w14:textId="77777777" w:rsidR="00C87723" w:rsidRPr="00C87723" w:rsidRDefault="00C87723" w:rsidP="00CA5D7B">
            <w:pPr>
              <w:pStyle w:val="TableParagraph"/>
            </w:pPr>
          </w:p>
        </w:tc>
        <w:tc>
          <w:tcPr>
            <w:tcW w:w="1108" w:type="dxa"/>
            <w:noWrap/>
            <w:vAlign w:val="center"/>
          </w:tcPr>
          <w:p w14:paraId="7CD16876" w14:textId="77777777" w:rsidR="00C87723" w:rsidRPr="00A752BE" w:rsidRDefault="00C87723" w:rsidP="00CA5D7B">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A752BE">
              <w:rPr>
                <w:b w:val="0"/>
                <w:bCs w:val="0"/>
              </w:rPr>
              <w:t>General unrestricted</w:t>
            </w:r>
          </w:p>
          <w:p w14:paraId="3E67AEA6" w14:textId="7FF24B75" w:rsidR="00C87723" w:rsidRPr="00A752BE" w:rsidRDefault="00A752BE" w:rsidP="00CA5D7B">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A752BE">
              <w:rPr>
                <w:b w:val="0"/>
                <w:bCs w:val="0"/>
              </w:rPr>
              <w:t>£</w:t>
            </w:r>
          </w:p>
        </w:tc>
        <w:tc>
          <w:tcPr>
            <w:tcW w:w="1073" w:type="dxa"/>
            <w:noWrap/>
            <w:vAlign w:val="center"/>
          </w:tcPr>
          <w:p w14:paraId="20A815E2" w14:textId="77777777" w:rsidR="00C87723" w:rsidRPr="00A752BE" w:rsidRDefault="00C87723" w:rsidP="00CA5D7B">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A752BE">
              <w:rPr>
                <w:b w:val="0"/>
                <w:bCs w:val="0"/>
              </w:rPr>
              <w:t>Designated funds</w:t>
            </w:r>
          </w:p>
          <w:p w14:paraId="2AA3FDA2" w14:textId="0D45BFB1" w:rsidR="00C87723" w:rsidRPr="00A752BE" w:rsidRDefault="00A752BE" w:rsidP="00CA5D7B">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A752BE">
              <w:rPr>
                <w:b w:val="0"/>
                <w:bCs w:val="0"/>
              </w:rPr>
              <w:t>£</w:t>
            </w:r>
          </w:p>
        </w:tc>
        <w:tc>
          <w:tcPr>
            <w:tcW w:w="960" w:type="dxa"/>
            <w:noWrap/>
            <w:vAlign w:val="center"/>
          </w:tcPr>
          <w:p w14:paraId="61E94538" w14:textId="77777777" w:rsidR="00C87723" w:rsidRPr="00A752BE" w:rsidRDefault="00C87723" w:rsidP="00CA5D7B">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A752BE">
              <w:rPr>
                <w:b w:val="0"/>
                <w:bCs w:val="0"/>
              </w:rPr>
              <w:t>Restricted funds</w:t>
            </w:r>
          </w:p>
          <w:p w14:paraId="7045F5D5" w14:textId="47D7AA43" w:rsidR="00C87723" w:rsidRPr="00A752BE" w:rsidRDefault="00A752BE" w:rsidP="00CA5D7B">
            <w:pPr>
              <w:pStyle w:val="TableParagraph"/>
              <w:jc w:val="right"/>
              <w:cnfStyle w:val="100000000000" w:firstRow="1" w:lastRow="0" w:firstColumn="0" w:lastColumn="0" w:oddVBand="0" w:evenVBand="0" w:oddHBand="0" w:evenHBand="0" w:firstRowFirstColumn="0" w:firstRowLastColumn="0" w:lastRowFirstColumn="0" w:lastRowLastColumn="0"/>
              <w:rPr>
                <w:b w:val="0"/>
                <w:bCs w:val="0"/>
              </w:rPr>
            </w:pPr>
            <w:r w:rsidRPr="00A752BE">
              <w:rPr>
                <w:b w:val="0"/>
                <w:bCs w:val="0"/>
              </w:rPr>
              <w:t>£</w:t>
            </w:r>
          </w:p>
        </w:tc>
        <w:tc>
          <w:tcPr>
            <w:tcW w:w="994" w:type="dxa"/>
            <w:noWrap/>
            <w:vAlign w:val="center"/>
          </w:tcPr>
          <w:p w14:paraId="26EF3A35" w14:textId="77777777" w:rsidR="00C87723" w:rsidRPr="00A752BE" w:rsidRDefault="00C87723" w:rsidP="00CA5D7B">
            <w:pPr>
              <w:pStyle w:val="TableParagraph"/>
              <w:jc w:val="right"/>
              <w:cnfStyle w:val="100000000000" w:firstRow="1" w:lastRow="0" w:firstColumn="0" w:lastColumn="0" w:oddVBand="0" w:evenVBand="0" w:oddHBand="0" w:evenHBand="0" w:firstRowFirstColumn="0" w:firstRowLastColumn="0" w:lastRowFirstColumn="0" w:lastRowLastColumn="0"/>
            </w:pPr>
            <w:r w:rsidRPr="00A752BE">
              <w:t>Total funds</w:t>
            </w:r>
          </w:p>
          <w:p w14:paraId="46F4DF3E" w14:textId="37ABB8B0" w:rsidR="00C87723" w:rsidRPr="00A752BE" w:rsidRDefault="00A752BE" w:rsidP="00CA5D7B">
            <w:pPr>
              <w:pStyle w:val="TableParagraph"/>
              <w:jc w:val="right"/>
              <w:cnfStyle w:val="100000000000" w:firstRow="1" w:lastRow="0" w:firstColumn="0" w:lastColumn="0" w:oddVBand="0" w:evenVBand="0" w:oddHBand="0" w:evenHBand="0" w:firstRowFirstColumn="0" w:firstRowLastColumn="0" w:lastRowFirstColumn="0" w:lastRowLastColumn="0"/>
            </w:pPr>
            <w:r w:rsidRPr="00A752BE">
              <w:t>£</w:t>
            </w:r>
          </w:p>
        </w:tc>
      </w:tr>
      <w:tr w:rsidR="00C87723" w:rsidRPr="00C87723" w14:paraId="4A4F60CC"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30" w:type="dxa"/>
            <w:vAlign w:val="center"/>
            <w:hideMark/>
          </w:tcPr>
          <w:p w14:paraId="19EBF139" w14:textId="77777777" w:rsidR="00C87723" w:rsidRPr="00C87723" w:rsidRDefault="00C87723" w:rsidP="00CA5D7B">
            <w:pPr>
              <w:pStyle w:val="TableParagraph"/>
              <w:rPr>
                <w:b w:val="0"/>
                <w:bCs w:val="0"/>
                <w:szCs w:val="18"/>
              </w:rPr>
            </w:pPr>
            <w:r w:rsidRPr="00C87723">
              <w:rPr>
                <w:b w:val="0"/>
                <w:bCs w:val="0"/>
                <w:szCs w:val="18"/>
              </w:rPr>
              <w:t>Tangible fixed assets</w:t>
            </w:r>
          </w:p>
        </w:tc>
        <w:tc>
          <w:tcPr>
            <w:tcW w:w="1108" w:type="dxa"/>
            <w:noWrap/>
            <w:vAlign w:val="center"/>
            <w:hideMark/>
          </w:tcPr>
          <w:p w14:paraId="31F52E91"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358,286</w:t>
            </w:r>
          </w:p>
        </w:tc>
        <w:tc>
          <w:tcPr>
            <w:tcW w:w="1073" w:type="dxa"/>
            <w:noWrap/>
            <w:vAlign w:val="center"/>
            <w:hideMark/>
          </w:tcPr>
          <w:p w14:paraId="26170786"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w:t>
            </w:r>
          </w:p>
        </w:tc>
        <w:tc>
          <w:tcPr>
            <w:tcW w:w="960" w:type="dxa"/>
            <w:noWrap/>
            <w:vAlign w:val="center"/>
            <w:hideMark/>
          </w:tcPr>
          <w:p w14:paraId="79ECFD85"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w:t>
            </w:r>
          </w:p>
        </w:tc>
        <w:tc>
          <w:tcPr>
            <w:tcW w:w="994" w:type="dxa"/>
            <w:noWrap/>
            <w:vAlign w:val="center"/>
            <w:hideMark/>
          </w:tcPr>
          <w:p w14:paraId="4EB9D5E4"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A752BE">
              <w:rPr>
                <w:b/>
                <w:bCs/>
              </w:rPr>
              <w:t>358,286</w:t>
            </w:r>
          </w:p>
        </w:tc>
      </w:tr>
      <w:tr w:rsidR="00C87723" w:rsidRPr="00C87723" w14:paraId="0F7CBEF9"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4830" w:type="dxa"/>
            <w:vAlign w:val="center"/>
            <w:hideMark/>
          </w:tcPr>
          <w:p w14:paraId="7DEEBC3D" w14:textId="77777777" w:rsidR="00C87723" w:rsidRPr="00C87723" w:rsidRDefault="00C87723" w:rsidP="00CA5D7B">
            <w:pPr>
              <w:pStyle w:val="TableParagraph"/>
              <w:rPr>
                <w:b w:val="0"/>
                <w:bCs w:val="0"/>
                <w:szCs w:val="18"/>
              </w:rPr>
            </w:pPr>
            <w:r w:rsidRPr="00C87723">
              <w:rPr>
                <w:b w:val="0"/>
                <w:bCs w:val="0"/>
                <w:szCs w:val="18"/>
              </w:rPr>
              <w:t>Investments</w:t>
            </w:r>
          </w:p>
        </w:tc>
        <w:tc>
          <w:tcPr>
            <w:tcW w:w="1108" w:type="dxa"/>
            <w:noWrap/>
            <w:vAlign w:val="center"/>
            <w:hideMark/>
          </w:tcPr>
          <w:p w14:paraId="1ACC8B45"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444,220</w:t>
            </w:r>
          </w:p>
        </w:tc>
        <w:tc>
          <w:tcPr>
            <w:tcW w:w="1073" w:type="dxa"/>
            <w:noWrap/>
            <w:vAlign w:val="center"/>
            <w:hideMark/>
          </w:tcPr>
          <w:p w14:paraId="1FA4B1A3"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597,568</w:t>
            </w:r>
          </w:p>
        </w:tc>
        <w:tc>
          <w:tcPr>
            <w:tcW w:w="960" w:type="dxa"/>
            <w:noWrap/>
            <w:vAlign w:val="center"/>
            <w:hideMark/>
          </w:tcPr>
          <w:p w14:paraId="7A70D92C"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w:t>
            </w:r>
          </w:p>
        </w:tc>
        <w:tc>
          <w:tcPr>
            <w:tcW w:w="994" w:type="dxa"/>
            <w:noWrap/>
            <w:vAlign w:val="center"/>
            <w:hideMark/>
          </w:tcPr>
          <w:p w14:paraId="34D94D71"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A752BE">
              <w:rPr>
                <w:b/>
                <w:bCs/>
              </w:rPr>
              <w:t>1,041,788</w:t>
            </w:r>
          </w:p>
        </w:tc>
      </w:tr>
      <w:tr w:rsidR="00C87723" w:rsidRPr="00C87723" w14:paraId="73B546DA"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30" w:type="dxa"/>
            <w:vAlign w:val="center"/>
            <w:hideMark/>
          </w:tcPr>
          <w:p w14:paraId="6A4FFB27" w14:textId="77777777" w:rsidR="00C87723" w:rsidRPr="00C87723" w:rsidRDefault="00C87723" w:rsidP="00CA5D7B">
            <w:pPr>
              <w:pStyle w:val="TableParagraph"/>
              <w:rPr>
                <w:b w:val="0"/>
                <w:bCs w:val="0"/>
                <w:szCs w:val="18"/>
              </w:rPr>
            </w:pPr>
            <w:r w:rsidRPr="00C87723">
              <w:rPr>
                <w:b w:val="0"/>
                <w:bCs w:val="0"/>
                <w:szCs w:val="18"/>
              </w:rPr>
              <w:t>Net current assets</w:t>
            </w:r>
          </w:p>
        </w:tc>
        <w:tc>
          <w:tcPr>
            <w:tcW w:w="1108" w:type="dxa"/>
            <w:noWrap/>
            <w:vAlign w:val="center"/>
            <w:hideMark/>
          </w:tcPr>
          <w:p w14:paraId="77A2B3BA"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998,627</w:t>
            </w:r>
          </w:p>
        </w:tc>
        <w:tc>
          <w:tcPr>
            <w:tcW w:w="1073" w:type="dxa"/>
            <w:noWrap/>
            <w:vAlign w:val="center"/>
            <w:hideMark/>
          </w:tcPr>
          <w:p w14:paraId="259E3030"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w:t>
            </w:r>
          </w:p>
        </w:tc>
        <w:tc>
          <w:tcPr>
            <w:tcW w:w="960" w:type="dxa"/>
            <w:noWrap/>
            <w:vAlign w:val="center"/>
            <w:hideMark/>
          </w:tcPr>
          <w:p w14:paraId="0B2FA0CA"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1,419</w:t>
            </w:r>
          </w:p>
        </w:tc>
        <w:tc>
          <w:tcPr>
            <w:tcW w:w="994" w:type="dxa"/>
            <w:noWrap/>
            <w:vAlign w:val="center"/>
            <w:hideMark/>
          </w:tcPr>
          <w:p w14:paraId="2F127F95"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A752BE">
              <w:rPr>
                <w:b/>
                <w:bCs/>
              </w:rPr>
              <w:t>1,000,045</w:t>
            </w:r>
          </w:p>
        </w:tc>
      </w:tr>
      <w:tr w:rsidR="00C87723" w:rsidRPr="00C87723" w14:paraId="54C5479A"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4830" w:type="dxa"/>
            <w:vAlign w:val="center"/>
            <w:hideMark/>
          </w:tcPr>
          <w:p w14:paraId="25DE606E" w14:textId="77777777" w:rsidR="00C87723" w:rsidRPr="00C87723" w:rsidRDefault="00C87723" w:rsidP="00CA5D7B">
            <w:pPr>
              <w:pStyle w:val="TableParagraph"/>
              <w:rPr>
                <w:b w:val="0"/>
                <w:bCs w:val="0"/>
                <w:szCs w:val="18"/>
              </w:rPr>
            </w:pPr>
            <w:r w:rsidRPr="00C87723">
              <w:rPr>
                <w:b w:val="0"/>
                <w:bCs w:val="0"/>
                <w:szCs w:val="18"/>
              </w:rPr>
              <w:t>Long term liabilities</w:t>
            </w:r>
          </w:p>
        </w:tc>
        <w:tc>
          <w:tcPr>
            <w:tcW w:w="1108" w:type="dxa"/>
            <w:noWrap/>
            <w:vAlign w:val="center"/>
            <w:hideMark/>
          </w:tcPr>
          <w:p w14:paraId="799D126E"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(196,457)</w:t>
            </w:r>
          </w:p>
        </w:tc>
        <w:tc>
          <w:tcPr>
            <w:tcW w:w="1073" w:type="dxa"/>
            <w:noWrap/>
            <w:vAlign w:val="center"/>
            <w:hideMark/>
          </w:tcPr>
          <w:p w14:paraId="32EE6C1D"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w:t>
            </w:r>
          </w:p>
        </w:tc>
        <w:tc>
          <w:tcPr>
            <w:tcW w:w="960" w:type="dxa"/>
            <w:noWrap/>
            <w:vAlign w:val="center"/>
            <w:hideMark/>
          </w:tcPr>
          <w:p w14:paraId="12CF6068"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w:t>
            </w:r>
          </w:p>
        </w:tc>
        <w:tc>
          <w:tcPr>
            <w:tcW w:w="994" w:type="dxa"/>
            <w:noWrap/>
            <w:vAlign w:val="center"/>
            <w:hideMark/>
          </w:tcPr>
          <w:p w14:paraId="26BA5115"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A752BE">
              <w:rPr>
                <w:b/>
                <w:bCs/>
              </w:rPr>
              <w:t>(196,457)</w:t>
            </w:r>
          </w:p>
        </w:tc>
      </w:tr>
      <w:tr w:rsidR="00C87723" w:rsidRPr="00C87723" w14:paraId="3C5E9B8A"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30" w:type="dxa"/>
            <w:vAlign w:val="center"/>
            <w:hideMark/>
          </w:tcPr>
          <w:p w14:paraId="7C1FCCE2" w14:textId="77777777" w:rsidR="00C87723" w:rsidRPr="00C87723" w:rsidRDefault="00C87723" w:rsidP="00CA5D7B">
            <w:pPr>
              <w:pStyle w:val="TableParagraph"/>
              <w:rPr>
                <w:b w:val="0"/>
                <w:bCs w:val="0"/>
                <w:szCs w:val="18"/>
              </w:rPr>
            </w:pPr>
          </w:p>
        </w:tc>
        <w:tc>
          <w:tcPr>
            <w:tcW w:w="1108" w:type="dxa"/>
            <w:tcBorders>
              <w:bottom w:val="single" w:sz="4" w:space="0" w:color="auto"/>
            </w:tcBorders>
            <w:noWrap/>
            <w:vAlign w:val="center"/>
            <w:hideMark/>
          </w:tcPr>
          <w:p w14:paraId="60D0EA34"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 </w:t>
            </w:r>
          </w:p>
        </w:tc>
        <w:tc>
          <w:tcPr>
            <w:tcW w:w="1073" w:type="dxa"/>
            <w:tcBorders>
              <w:bottom w:val="single" w:sz="4" w:space="0" w:color="auto"/>
            </w:tcBorders>
            <w:noWrap/>
            <w:vAlign w:val="center"/>
            <w:hideMark/>
          </w:tcPr>
          <w:p w14:paraId="5AC12EF9"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 </w:t>
            </w:r>
          </w:p>
        </w:tc>
        <w:tc>
          <w:tcPr>
            <w:tcW w:w="960" w:type="dxa"/>
            <w:tcBorders>
              <w:bottom w:val="single" w:sz="4" w:space="0" w:color="auto"/>
            </w:tcBorders>
            <w:noWrap/>
            <w:vAlign w:val="center"/>
            <w:hideMark/>
          </w:tcPr>
          <w:p w14:paraId="224768BD"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pPr>
            <w:r w:rsidRPr="00A752BE">
              <w:t> </w:t>
            </w:r>
          </w:p>
        </w:tc>
        <w:tc>
          <w:tcPr>
            <w:tcW w:w="994" w:type="dxa"/>
            <w:tcBorders>
              <w:bottom w:val="single" w:sz="4" w:space="0" w:color="auto"/>
            </w:tcBorders>
            <w:noWrap/>
            <w:vAlign w:val="center"/>
            <w:hideMark/>
          </w:tcPr>
          <w:p w14:paraId="4CFA60C1" w14:textId="77777777" w:rsidR="00C87723" w:rsidRPr="00A752BE" w:rsidRDefault="00C87723" w:rsidP="00CA5D7B">
            <w:pPr>
              <w:pStyle w:val="TableParagraph"/>
              <w:jc w:val="right"/>
              <w:cnfStyle w:val="000000100000" w:firstRow="0" w:lastRow="0" w:firstColumn="0" w:lastColumn="0" w:oddVBand="0" w:evenVBand="0" w:oddHBand="1" w:evenHBand="0" w:firstRowFirstColumn="0" w:firstRowLastColumn="0" w:lastRowFirstColumn="0" w:lastRowLastColumn="0"/>
              <w:rPr>
                <w:b/>
                <w:bCs/>
              </w:rPr>
            </w:pPr>
            <w:r w:rsidRPr="00A752BE">
              <w:rPr>
                <w:b/>
                <w:bCs/>
              </w:rPr>
              <w:t> </w:t>
            </w:r>
          </w:p>
        </w:tc>
      </w:tr>
      <w:tr w:rsidR="00C87723" w:rsidRPr="00C87723" w14:paraId="2BAEE252"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4830" w:type="dxa"/>
            <w:vAlign w:val="center"/>
            <w:hideMark/>
          </w:tcPr>
          <w:p w14:paraId="6966CCAD" w14:textId="77777777" w:rsidR="00C87723" w:rsidRPr="00C87723" w:rsidRDefault="00C87723" w:rsidP="00CA5D7B">
            <w:pPr>
              <w:pStyle w:val="TableParagraph"/>
              <w:rPr>
                <w:b w:val="0"/>
                <w:bCs w:val="0"/>
                <w:szCs w:val="18"/>
              </w:rPr>
            </w:pPr>
            <w:r w:rsidRPr="00C87723">
              <w:rPr>
                <w:b w:val="0"/>
                <w:bCs w:val="0"/>
                <w:szCs w:val="18"/>
              </w:rPr>
              <w:t xml:space="preserve">Net assets </w:t>
            </w:r>
            <w:proofErr w:type="gramStart"/>
            <w:r w:rsidRPr="00C87723">
              <w:rPr>
                <w:b w:val="0"/>
                <w:bCs w:val="0"/>
                <w:szCs w:val="18"/>
              </w:rPr>
              <w:t>at</w:t>
            </w:r>
            <w:proofErr w:type="gramEnd"/>
            <w:r w:rsidRPr="00C87723">
              <w:rPr>
                <w:b w:val="0"/>
                <w:bCs w:val="0"/>
                <w:szCs w:val="18"/>
              </w:rPr>
              <w:t xml:space="preserve"> 31 March 2021</w:t>
            </w:r>
          </w:p>
        </w:tc>
        <w:tc>
          <w:tcPr>
            <w:tcW w:w="1108" w:type="dxa"/>
            <w:tcBorders>
              <w:top w:val="single" w:sz="4" w:space="0" w:color="auto"/>
              <w:bottom w:val="single" w:sz="4" w:space="0" w:color="auto"/>
            </w:tcBorders>
            <w:noWrap/>
            <w:vAlign w:val="center"/>
            <w:hideMark/>
          </w:tcPr>
          <w:p w14:paraId="592F4A64"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1,604,676</w:t>
            </w:r>
          </w:p>
        </w:tc>
        <w:tc>
          <w:tcPr>
            <w:tcW w:w="1073" w:type="dxa"/>
            <w:tcBorders>
              <w:top w:val="single" w:sz="4" w:space="0" w:color="auto"/>
              <w:bottom w:val="single" w:sz="4" w:space="0" w:color="auto"/>
            </w:tcBorders>
            <w:noWrap/>
            <w:vAlign w:val="center"/>
            <w:hideMark/>
          </w:tcPr>
          <w:p w14:paraId="3F0CD4E2"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597,568</w:t>
            </w:r>
          </w:p>
        </w:tc>
        <w:tc>
          <w:tcPr>
            <w:tcW w:w="960" w:type="dxa"/>
            <w:tcBorders>
              <w:top w:val="single" w:sz="4" w:space="0" w:color="auto"/>
              <w:bottom w:val="single" w:sz="4" w:space="0" w:color="auto"/>
            </w:tcBorders>
            <w:noWrap/>
            <w:vAlign w:val="center"/>
            <w:hideMark/>
          </w:tcPr>
          <w:p w14:paraId="106578AA"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pPr>
            <w:r w:rsidRPr="00A752BE">
              <w:t>1,419</w:t>
            </w:r>
          </w:p>
        </w:tc>
        <w:tc>
          <w:tcPr>
            <w:tcW w:w="994" w:type="dxa"/>
            <w:tcBorders>
              <w:top w:val="single" w:sz="4" w:space="0" w:color="auto"/>
              <w:bottom w:val="single" w:sz="4" w:space="0" w:color="auto"/>
            </w:tcBorders>
            <w:noWrap/>
            <w:vAlign w:val="center"/>
            <w:hideMark/>
          </w:tcPr>
          <w:p w14:paraId="7604A806" w14:textId="77777777" w:rsidR="00C87723" w:rsidRPr="00A752BE" w:rsidRDefault="00C87723" w:rsidP="00CA5D7B">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A752BE">
              <w:rPr>
                <w:b/>
                <w:bCs/>
              </w:rPr>
              <w:t>2,203,663</w:t>
            </w:r>
          </w:p>
        </w:tc>
      </w:tr>
    </w:tbl>
    <w:p w14:paraId="3032F49B" w14:textId="2DDEB12E" w:rsidR="00C74404" w:rsidRPr="00C87723" w:rsidRDefault="00C74404" w:rsidP="00C87723">
      <w:pPr>
        <w:pStyle w:val="TableParagraph"/>
        <w:rPr>
          <w:szCs w:val="18"/>
        </w:rPr>
      </w:pPr>
    </w:p>
    <w:p w14:paraId="6816C947" w14:textId="77777777" w:rsidR="003F3556" w:rsidRPr="003F3556" w:rsidRDefault="003F3556" w:rsidP="003F3556">
      <w:pPr>
        <w:widowControl/>
        <w:suppressAutoHyphens/>
        <w:adjustRightInd w:val="0"/>
        <w:spacing w:after="100" w:line="280" w:lineRule="atLeast"/>
        <w:textAlignment w:val="center"/>
        <w:rPr>
          <w:rFonts w:eastAsia="MS Mincho" w:cs="FS Albert"/>
          <w:color w:val="11100D"/>
          <w:sz w:val="20"/>
          <w:szCs w:val="20"/>
        </w:rPr>
      </w:pPr>
      <w:r w:rsidRPr="003F3556">
        <w:rPr>
          <w:rFonts w:eastAsia="MS Mincho" w:cs="FS Albert"/>
          <w:color w:val="11100D"/>
          <w:sz w:val="20"/>
          <w:szCs w:val="20"/>
        </w:rPr>
        <w:t>In the prior year all funds were unrestricted and so net assets were held as unrestricted.</w:t>
      </w:r>
    </w:p>
    <w:p w14:paraId="17FD617D" w14:textId="229EDE5E" w:rsidR="00C74404" w:rsidRDefault="00C74404" w:rsidP="00C74404">
      <w:pPr>
        <w:pStyle w:val="ListNumber"/>
        <w:numPr>
          <w:ilvl w:val="0"/>
          <w:numId w:val="0"/>
        </w:numPr>
        <w:ind w:left="360" w:hanging="360"/>
      </w:pPr>
    </w:p>
    <w:p w14:paraId="43C57B77" w14:textId="0A1E4A5E" w:rsidR="0037412E" w:rsidRDefault="0037412E" w:rsidP="00C74404">
      <w:pPr>
        <w:pStyle w:val="ListNumber"/>
        <w:numPr>
          <w:ilvl w:val="0"/>
          <w:numId w:val="0"/>
        </w:numPr>
        <w:ind w:left="360" w:hanging="360"/>
      </w:pPr>
    </w:p>
    <w:p w14:paraId="4717AC39" w14:textId="7236E9C2" w:rsidR="0037412E" w:rsidRDefault="0037412E" w:rsidP="00C74404">
      <w:pPr>
        <w:pStyle w:val="ListNumber"/>
        <w:numPr>
          <w:ilvl w:val="0"/>
          <w:numId w:val="0"/>
        </w:numPr>
        <w:ind w:left="360" w:hanging="360"/>
      </w:pPr>
    </w:p>
    <w:p w14:paraId="3FB2BCA0" w14:textId="46FB176C" w:rsidR="0037412E" w:rsidRDefault="0037412E" w:rsidP="00C74404">
      <w:pPr>
        <w:pStyle w:val="ListNumber"/>
        <w:numPr>
          <w:ilvl w:val="0"/>
          <w:numId w:val="0"/>
        </w:numPr>
        <w:ind w:left="360" w:hanging="360"/>
      </w:pPr>
    </w:p>
    <w:p w14:paraId="29BE6726" w14:textId="0887D947" w:rsidR="0037412E" w:rsidRDefault="0037412E" w:rsidP="00C74404">
      <w:pPr>
        <w:pStyle w:val="ListNumber"/>
        <w:numPr>
          <w:ilvl w:val="0"/>
          <w:numId w:val="0"/>
        </w:numPr>
        <w:ind w:left="360" w:hanging="360"/>
      </w:pPr>
    </w:p>
    <w:p w14:paraId="0E1FF7C1" w14:textId="77777777" w:rsidR="00A131C9" w:rsidRDefault="00A131C9" w:rsidP="00A131C9">
      <w:pPr>
        <w:pStyle w:val="ListNumber"/>
        <w:numPr>
          <w:ilvl w:val="0"/>
          <w:numId w:val="0"/>
        </w:numPr>
      </w:pPr>
    </w:p>
    <w:p w14:paraId="7D18453E" w14:textId="7E405CD3" w:rsidR="0037412E" w:rsidRDefault="00ED12C5" w:rsidP="0037412E">
      <w:pPr>
        <w:pStyle w:val="ListNumber"/>
        <w:tabs>
          <w:tab w:val="clear" w:pos="360"/>
        </w:tabs>
      </w:pPr>
      <w:r>
        <w:t>a.</w:t>
      </w:r>
      <w:r w:rsidR="0017512E">
        <w:t xml:space="preserve"> </w:t>
      </w:r>
      <w:r w:rsidR="0017512E" w:rsidRPr="0017512E">
        <w:t>Movements in reserves (current year)</w:t>
      </w:r>
    </w:p>
    <w:p w14:paraId="0635FAC0" w14:textId="77777777" w:rsidR="0037412E" w:rsidRPr="00A6575C" w:rsidRDefault="0037412E" w:rsidP="0037412E">
      <w:pPr>
        <w:pStyle w:val="ListNumber"/>
        <w:numPr>
          <w:ilvl w:val="0"/>
          <w:numId w:val="0"/>
        </w:numPr>
        <w:ind w:left="360"/>
        <w:rPr>
          <w:sz w:val="18"/>
          <w:szCs w:val="18"/>
        </w:rPr>
      </w:pPr>
    </w:p>
    <w:tbl>
      <w:tblPr>
        <w:tblStyle w:val="PlainTable4"/>
        <w:tblW w:w="8916" w:type="dxa"/>
        <w:tblLook w:val="04A0" w:firstRow="1" w:lastRow="0" w:firstColumn="1" w:lastColumn="0" w:noHBand="0" w:noVBand="1"/>
      </w:tblPr>
      <w:tblGrid>
        <w:gridCol w:w="3685"/>
        <w:gridCol w:w="982"/>
        <w:gridCol w:w="982"/>
        <w:gridCol w:w="1120"/>
        <w:gridCol w:w="963"/>
        <w:gridCol w:w="1184"/>
      </w:tblGrid>
      <w:tr w:rsidR="0037412E" w:rsidRPr="00A6575C" w14:paraId="6E503D8D" w14:textId="77777777" w:rsidTr="003F3556">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685" w:type="dxa"/>
            <w:hideMark/>
          </w:tcPr>
          <w:p w14:paraId="6332FBA3" w14:textId="77777777" w:rsidR="0037412E" w:rsidRPr="00ED12C5" w:rsidRDefault="0037412E" w:rsidP="00ED12C5">
            <w:pPr>
              <w:widowControl/>
              <w:autoSpaceDE/>
              <w:autoSpaceDN/>
              <w:rPr>
                <w:rFonts w:eastAsia="Times New Roman" w:cs="Times New Roman"/>
                <w:sz w:val="18"/>
                <w:szCs w:val="18"/>
                <w:lang w:eastAsia="en-GB"/>
              </w:rPr>
            </w:pPr>
          </w:p>
        </w:tc>
        <w:tc>
          <w:tcPr>
            <w:tcW w:w="982" w:type="dxa"/>
            <w:vAlign w:val="center"/>
            <w:hideMark/>
          </w:tcPr>
          <w:p w14:paraId="7C39A0E1" w14:textId="77777777" w:rsidR="0037412E" w:rsidRPr="00A6575C"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proofErr w:type="gramStart"/>
            <w:r w:rsidRPr="00ED12C5">
              <w:rPr>
                <w:rFonts w:eastAsia="Times New Roman" w:cs="Calibri"/>
                <w:b w:val="0"/>
                <w:bCs w:val="0"/>
                <w:sz w:val="18"/>
                <w:szCs w:val="18"/>
                <w:lang w:eastAsia="en-GB"/>
              </w:rPr>
              <w:t>At</w:t>
            </w:r>
            <w:proofErr w:type="gramEnd"/>
            <w:r w:rsidRPr="00ED12C5">
              <w:rPr>
                <w:rFonts w:eastAsia="Times New Roman" w:cs="Calibri"/>
                <w:b w:val="0"/>
                <w:bCs w:val="0"/>
                <w:sz w:val="18"/>
                <w:szCs w:val="18"/>
                <w:lang w:eastAsia="en-GB"/>
              </w:rPr>
              <w:t xml:space="preserve"> 1 April 2020</w:t>
            </w:r>
          </w:p>
          <w:p w14:paraId="5C741563" w14:textId="49DDC941" w:rsidR="0037412E" w:rsidRPr="00ED12C5"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A6575C">
              <w:rPr>
                <w:rFonts w:eastAsia="Times New Roman" w:cs="Calibri"/>
                <w:b w:val="0"/>
                <w:bCs w:val="0"/>
                <w:sz w:val="18"/>
                <w:szCs w:val="18"/>
                <w:lang w:eastAsia="en-GB"/>
              </w:rPr>
              <w:t>£</w:t>
            </w:r>
          </w:p>
        </w:tc>
        <w:tc>
          <w:tcPr>
            <w:tcW w:w="982" w:type="dxa"/>
            <w:vAlign w:val="center"/>
            <w:hideMark/>
          </w:tcPr>
          <w:p w14:paraId="0158D367" w14:textId="77777777" w:rsidR="0037412E" w:rsidRPr="00A6575C"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ED12C5">
              <w:rPr>
                <w:rFonts w:eastAsia="Times New Roman" w:cs="Calibri"/>
                <w:b w:val="0"/>
                <w:bCs w:val="0"/>
                <w:sz w:val="18"/>
                <w:szCs w:val="18"/>
                <w:lang w:eastAsia="en-GB"/>
              </w:rPr>
              <w:t>Income &amp; gains</w:t>
            </w:r>
          </w:p>
          <w:p w14:paraId="0AAAE908" w14:textId="47B2BD75" w:rsidR="0037412E" w:rsidRPr="00ED12C5"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A6575C">
              <w:rPr>
                <w:rFonts w:eastAsia="Times New Roman" w:cs="Calibri"/>
                <w:b w:val="0"/>
                <w:bCs w:val="0"/>
                <w:sz w:val="18"/>
                <w:szCs w:val="18"/>
                <w:lang w:eastAsia="en-GB"/>
              </w:rPr>
              <w:t>£</w:t>
            </w:r>
          </w:p>
        </w:tc>
        <w:tc>
          <w:tcPr>
            <w:tcW w:w="1120" w:type="dxa"/>
            <w:vAlign w:val="center"/>
            <w:hideMark/>
          </w:tcPr>
          <w:p w14:paraId="3975844A" w14:textId="77777777" w:rsidR="0037412E" w:rsidRPr="00A6575C"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ED12C5">
              <w:rPr>
                <w:rFonts w:eastAsia="Times New Roman" w:cs="Calibri"/>
                <w:b w:val="0"/>
                <w:bCs w:val="0"/>
                <w:sz w:val="18"/>
                <w:szCs w:val="18"/>
                <w:lang w:eastAsia="en-GB"/>
              </w:rPr>
              <w:t>Expenditure &amp; losses</w:t>
            </w:r>
          </w:p>
          <w:p w14:paraId="63F8067B" w14:textId="6C60DFA0" w:rsidR="0037412E" w:rsidRPr="00ED12C5"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A6575C">
              <w:rPr>
                <w:rFonts w:eastAsia="Times New Roman" w:cs="Calibri"/>
                <w:b w:val="0"/>
                <w:bCs w:val="0"/>
                <w:sz w:val="18"/>
                <w:szCs w:val="18"/>
                <w:lang w:eastAsia="en-GB"/>
              </w:rPr>
              <w:t>£</w:t>
            </w:r>
          </w:p>
        </w:tc>
        <w:tc>
          <w:tcPr>
            <w:tcW w:w="963" w:type="dxa"/>
            <w:vAlign w:val="center"/>
            <w:hideMark/>
          </w:tcPr>
          <w:p w14:paraId="6F1796B6" w14:textId="77777777" w:rsidR="0037412E" w:rsidRPr="00A6575C"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ED12C5">
              <w:rPr>
                <w:rFonts w:eastAsia="Times New Roman" w:cs="Calibri"/>
                <w:b w:val="0"/>
                <w:bCs w:val="0"/>
                <w:sz w:val="18"/>
                <w:szCs w:val="18"/>
                <w:lang w:eastAsia="en-GB"/>
              </w:rPr>
              <w:t>Transfers</w:t>
            </w:r>
          </w:p>
          <w:p w14:paraId="2F2D7AC8" w14:textId="76FDAD2A" w:rsidR="0037412E" w:rsidRPr="00ED12C5"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A6575C">
              <w:rPr>
                <w:rFonts w:eastAsia="Times New Roman" w:cs="Calibri"/>
                <w:b w:val="0"/>
                <w:bCs w:val="0"/>
                <w:sz w:val="18"/>
                <w:szCs w:val="18"/>
                <w:lang w:eastAsia="en-GB"/>
              </w:rPr>
              <w:t>£</w:t>
            </w:r>
          </w:p>
        </w:tc>
        <w:tc>
          <w:tcPr>
            <w:tcW w:w="1184" w:type="dxa"/>
            <w:vAlign w:val="center"/>
            <w:hideMark/>
          </w:tcPr>
          <w:p w14:paraId="153A2ADC" w14:textId="3F9893CF" w:rsidR="0037412E" w:rsidRPr="00A6575C"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proofErr w:type="gramStart"/>
            <w:r w:rsidRPr="00ED12C5">
              <w:rPr>
                <w:rFonts w:eastAsia="Times New Roman" w:cs="Calibri"/>
                <w:sz w:val="18"/>
                <w:szCs w:val="18"/>
                <w:lang w:eastAsia="en-GB"/>
              </w:rPr>
              <w:t>At</w:t>
            </w:r>
            <w:proofErr w:type="gramEnd"/>
            <w:r w:rsidRPr="00ED12C5">
              <w:rPr>
                <w:rFonts w:eastAsia="Times New Roman" w:cs="Calibri"/>
                <w:sz w:val="18"/>
                <w:szCs w:val="18"/>
                <w:lang w:eastAsia="en-GB"/>
              </w:rPr>
              <w:t xml:space="preserve"> 31 March</w:t>
            </w:r>
            <w:r w:rsidRPr="00A6575C">
              <w:rPr>
                <w:rFonts w:eastAsia="Times New Roman" w:cs="Calibri"/>
                <w:sz w:val="18"/>
                <w:szCs w:val="18"/>
                <w:lang w:eastAsia="en-GB"/>
              </w:rPr>
              <w:t xml:space="preserve"> </w:t>
            </w:r>
            <w:r w:rsidRPr="00ED12C5">
              <w:rPr>
                <w:rFonts w:eastAsia="Times New Roman" w:cs="Calibri"/>
                <w:sz w:val="18"/>
                <w:szCs w:val="18"/>
                <w:lang w:eastAsia="en-GB"/>
              </w:rPr>
              <w:t>2021</w:t>
            </w:r>
          </w:p>
          <w:p w14:paraId="78DA6B38" w14:textId="738B0645" w:rsidR="0037412E" w:rsidRPr="00ED12C5" w:rsidRDefault="0037412E" w:rsidP="003F355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r>
      <w:tr w:rsidR="0037412E" w:rsidRPr="00A6575C" w14:paraId="028E179B"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6141D21" w14:textId="77777777" w:rsidR="0037412E" w:rsidRPr="00ED12C5" w:rsidRDefault="0037412E" w:rsidP="003F3556">
            <w:pPr>
              <w:widowControl/>
              <w:autoSpaceDE/>
              <w:autoSpaceDN/>
              <w:rPr>
                <w:rFonts w:eastAsia="Times New Roman" w:cs="Calibri"/>
                <w:sz w:val="18"/>
                <w:szCs w:val="18"/>
                <w:lang w:eastAsia="en-GB"/>
              </w:rPr>
            </w:pPr>
            <w:r w:rsidRPr="00ED12C5">
              <w:rPr>
                <w:rFonts w:eastAsia="Times New Roman" w:cs="Calibri"/>
                <w:sz w:val="18"/>
                <w:szCs w:val="18"/>
                <w:lang w:eastAsia="en-GB"/>
              </w:rPr>
              <w:t>Restricted funds:</w:t>
            </w:r>
          </w:p>
        </w:tc>
        <w:tc>
          <w:tcPr>
            <w:tcW w:w="982" w:type="dxa"/>
            <w:vAlign w:val="center"/>
            <w:hideMark/>
          </w:tcPr>
          <w:p w14:paraId="5CE6BCA4"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982" w:type="dxa"/>
            <w:vAlign w:val="center"/>
            <w:hideMark/>
          </w:tcPr>
          <w:p w14:paraId="15519E9B"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20" w:type="dxa"/>
            <w:vAlign w:val="center"/>
            <w:hideMark/>
          </w:tcPr>
          <w:p w14:paraId="2CA57D41"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963" w:type="dxa"/>
            <w:vAlign w:val="center"/>
            <w:hideMark/>
          </w:tcPr>
          <w:p w14:paraId="48B64DAD"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84" w:type="dxa"/>
            <w:vAlign w:val="center"/>
            <w:hideMark/>
          </w:tcPr>
          <w:p w14:paraId="5D543550"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n-GB"/>
              </w:rPr>
            </w:pPr>
          </w:p>
        </w:tc>
      </w:tr>
      <w:tr w:rsidR="0037412E" w:rsidRPr="00A6575C" w14:paraId="302A7438"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02C4B1C"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Centenary Appeal</w:t>
            </w:r>
          </w:p>
        </w:tc>
        <w:tc>
          <w:tcPr>
            <w:tcW w:w="982" w:type="dxa"/>
            <w:noWrap/>
            <w:vAlign w:val="center"/>
            <w:hideMark/>
          </w:tcPr>
          <w:p w14:paraId="221BFEF2"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7,130</w:t>
            </w:r>
          </w:p>
        </w:tc>
        <w:tc>
          <w:tcPr>
            <w:tcW w:w="982" w:type="dxa"/>
            <w:noWrap/>
            <w:vAlign w:val="center"/>
            <w:hideMark/>
          </w:tcPr>
          <w:p w14:paraId="395165FC"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31,406</w:t>
            </w:r>
          </w:p>
        </w:tc>
        <w:tc>
          <w:tcPr>
            <w:tcW w:w="1120" w:type="dxa"/>
            <w:noWrap/>
            <w:vAlign w:val="center"/>
            <w:hideMark/>
          </w:tcPr>
          <w:p w14:paraId="74DB4B66"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(38,536)</w:t>
            </w:r>
          </w:p>
        </w:tc>
        <w:tc>
          <w:tcPr>
            <w:tcW w:w="963" w:type="dxa"/>
            <w:noWrap/>
            <w:vAlign w:val="center"/>
            <w:hideMark/>
          </w:tcPr>
          <w:p w14:paraId="41D75F34"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84" w:type="dxa"/>
            <w:noWrap/>
            <w:vAlign w:val="center"/>
            <w:hideMark/>
          </w:tcPr>
          <w:p w14:paraId="14237ACB"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w:t>
            </w:r>
          </w:p>
        </w:tc>
      </w:tr>
      <w:tr w:rsidR="0037412E" w:rsidRPr="00A6575C" w14:paraId="04F293C6"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7B96434" w14:textId="77777777" w:rsidR="0037412E" w:rsidRPr="00ED12C5" w:rsidRDefault="0037412E" w:rsidP="003F3556">
            <w:pPr>
              <w:widowControl/>
              <w:autoSpaceDE/>
              <w:autoSpaceDN/>
              <w:rPr>
                <w:rFonts w:eastAsia="Times New Roman" w:cs="Calibri"/>
                <w:b w:val="0"/>
                <w:bCs w:val="0"/>
                <w:sz w:val="18"/>
                <w:szCs w:val="18"/>
                <w:lang w:eastAsia="en-GB"/>
              </w:rPr>
            </w:pPr>
            <w:proofErr w:type="spellStart"/>
            <w:r w:rsidRPr="00ED12C5">
              <w:rPr>
                <w:rFonts w:eastAsia="Times New Roman" w:cs="Calibri"/>
                <w:b w:val="0"/>
                <w:bCs w:val="0"/>
                <w:sz w:val="18"/>
                <w:szCs w:val="18"/>
                <w:lang w:eastAsia="en-GB"/>
              </w:rPr>
              <w:t>BlindLockdownLife</w:t>
            </w:r>
            <w:proofErr w:type="spellEnd"/>
          </w:p>
        </w:tc>
        <w:tc>
          <w:tcPr>
            <w:tcW w:w="982" w:type="dxa"/>
            <w:noWrap/>
            <w:vAlign w:val="center"/>
            <w:hideMark/>
          </w:tcPr>
          <w:p w14:paraId="4C957CE5"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82" w:type="dxa"/>
            <w:noWrap/>
            <w:vAlign w:val="center"/>
            <w:hideMark/>
          </w:tcPr>
          <w:p w14:paraId="003D3FE6"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3,000</w:t>
            </w:r>
          </w:p>
        </w:tc>
        <w:tc>
          <w:tcPr>
            <w:tcW w:w="1120" w:type="dxa"/>
            <w:noWrap/>
            <w:vAlign w:val="center"/>
            <w:hideMark/>
          </w:tcPr>
          <w:p w14:paraId="6246506F"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(3,000)</w:t>
            </w:r>
          </w:p>
        </w:tc>
        <w:tc>
          <w:tcPr>
            <w:tcW w:w="963" w:type="dxa"/>
            <w:noWrap/>
            <w:vAlign w:val="center"/>
            <w:hideMark/>
          </w:tcPr>
          <w:p w14:paraId="1A6FB6A9"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84" w:type="dxa"/>
            <w:noWrap/>
            <w:vAlign w:val="center"/>
            <w:hideMark/>
          </w:tcPr>
          <w:p w14:paraId="24F5CE28"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w:t>
            </w:r>
          </w:p>
        </w:tc>
      </w:tr>
      <w:tr w:rsidR="0037412E" w:rsidRPr="00A6575C" w14:paraId="63BB9D3D"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91BD218"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COVID-19 Bromley Telephone Support Service</w:t>
            </w:r>
          </w:p>
        </w:tc>
        <w:tc>
          <w:tcPr>
            <w:tcW w:w="982" w:type="dxa"/>
            <w:noWrap/>
            <w:vAlign w:val="center"/>
            <w:hideMark/>
          </w:tcPr>
          <w:p w14:paraId="78B75C29"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82" w:type="dxa"/>
            <w:noWrap/>
            <w:vAlign w:val="center"/>
            <w:hideMark/>
          </w:tcPr>
          <w:p w14:paraId="1329E09F"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5,000</w:t>
            </w:r>
          </w:p>
        </w:tc>
        <w:tc>
          <w:tcPr>
            <w:tcW w:w="1120" w:type="dxa"/>
            <w:noWrap/>
            <w:vAlign w:val="center"/>
            <w:hideMark/>
          </w:tcPr>
          <w:p w14:paraId="7D23D89C"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(5,000)</w:t>
            </w:r>
          </w:p>
        </w:tc>
        <w:tc>
          <w:tcPr>
            <w:tcW w:w="963" w:type="dxa"/>
            <w:noWrap/>
            <w:vAlign w:val="center"/>
            <w:hideMark/>
          </w:tcPr>
          <w:p w14:paraId="3AD7D6DA"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84" w:type="dxa"/>
            <w:noWrap/>
            <w:vAlign w:val="center"/>
            <w:hideMark/>
          </w:tcPr>
          <w:p w14:paraId="73461C6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w:t>
            </w:r>
          </w:p>
        </w:tc>
      </w:tr>
      <w:tr w:rsidR="0037412E" w:rsidRPr="00A6575C" w14:paraId="1C9685A8"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2F8C0B7F"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Vision Fund</w:t>
            </w:r>
          </w:p>
        </w:tc>
        <w:tc>
          <w:tcPr>
            <w:tcW w:w="982" w:type="dxa"/>
            <w:noWrap/>
            <w:vAlign w:val="center"/>
            <w:hideMark/>
          </w:tcPr>
          <w:p w14:paraId="120CC084"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82" w:type="dxa"/>
            <w:noWrap/>
            <w:vAlign w:val="center"/>
            <w:hideMark/>
          </w:tcPr>
          <w:p w14:paraId="1FCBE72B"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19,400</w:t>
            </w:r>
          </w:p>
        </w:tc>
        <w:tc>
          <w:tcPr>
            <w:tcW w:w="1120" w:type="dxa"/>
            <w:noWrap/>
            <w:vAlign w:val="center"/>
            <w:hideMark/>
          </w:tcPr>
          <w:p w14:paraId="230C5669"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(19,400)</w:t>
            </w:r>
          </w:p>
        </w:tc>
        <w:tc>
          <w:tcPr>
            <w:tcW w:w="963" w:type="dxa"/>
            <w:noWrap/>
            <w:vAlign w:val="center"/>
            <w:hideMark/>
          </w:tcPr>
          <w:p w14:paraId="796AE40C"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84" w:type="dxa"/>
            <w:noWrap/>
            <w:vAlign w:val="center"/>
            <w:hideMark/>
          </w:tcPr>
          <w:p w14:paraId="7D78C124"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w:t>
            </w:r>
          </w:p>
        </w:tc>
      </w:tr>
      <w:tr w:rsidR="0037412E" w:rsidRPr="00A6575C" w14:paraId="2075A771"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923002"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Employment Research</w:t>
            </w:r>
          </w:p>
        </w:tc>
        <w:tc>
          <w:tcPr>
            <w:tcW w:w="982" w:type="dxa"/>
            <w:noWrap/>
            <w:vAlign w:val="center"/>
            <w:hideMark/>
          </w:tcPr>
          <w:p w14:paraId="023E7B0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82" w:type="dxa"/>
            <w:noWrap/>
            <w:vAlign w:val="center"/>
            <w:hideMark/>
          </w:tcPr>
          <w:p w14:paraId="024156E2"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18,871</w:t>
            </w:r>
          </w:p>
        </w:tc>
        <w:tc>
          <w:tcPr>
            <w:tcW w:w="1120" w:type="dxa"/>
            <w:noWrap/>
            <w:vAlign w:val="center"/>
            <w:hideMark/>
          </w:tcPr>
          <w:p w14:paraId="11C58247"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(17,452)</w:t>
            </w:r>
          </w:p>
        </w:tc>
        <w:tc>
          <w:tcPr>
            <w:tcW w:w="963" w:type="dxa"/>
            <w:noWrap/>
            <w:vAlign w:val="center"/>
            <w:hideMark/>
          </w:tcPr>
          <w:p w14:paraId="2D748B23"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184" w:type="dxa"/>
            <w:noWrap/>
            <w:vAlign w:val="center"/>
            <w:hideMark/>
          </w:tcPr>
          <w:p w14:paraId="0BADAA94"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1,419</w:t>
            </w:r>
          </w:p>
        </w:tc>
      </w:tr>
      <w:tr w:rsidR="0037412E" w:rsidRPr="00A6575C" w14:paraId="629725BD"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CA54BF4"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Laptops for Grantees</w:t>
            </w:r>
          </w:p>
        </w:tc>
        <w:tc>
          <w:tcPr>
            <w:tcW w:w="982" w:type="dxa"/>
            <w:noWrap/>
            <w:vAlign w:val="center"/>
            <w:hideMark/>
          </w:tcPr>
          <w:p w14:paraId="4964872F"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82" w:type="dxa"/>
            <w:noWrap/>
            <w:vAlign w:val="center"/>
            <w:hideMark/>
          </w:tcPr>
          <w:p w14:paraId="78BA9492"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954</w:t>
            </w:r>
          </w:p>
        </w:tc>
        <w:tc>
          <w:tcPr>
            <w:tcW w:w="1120" w:type="dxa"/>
            <w:noWrap/>
            <w:vAlign w:val="center"/>
            <w:hideMark/>
          </w:tcPr>
          <w:p w14:paraId="16F8EF28"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(954)</w:t>
            </w:r>
          </w:p>
        </w:tc>
        <w:tc>
          <w:tcPr>
            <w:tcW w:w="963" w:type="dxa"/>
            <w:noWrap/>
            <w:vAlign w:val="center"/>
            <w:hideMark/>
          </w:tcPr>
          <w:p w14:paraId="5BF93A93"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84" w:type="dxa"/>
            <w:noWrap/>
            <w:vAlign w:val="center"/>
            <w:hideMark/>
          </w:tcPr>
          <w:p w14:paraId="24A4D549"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w:t>
            </w:r>
          </w:p>
        </w:tc>
      </w:tr>
      <w:tr w:rsidR="0037412E" w:rsidRPr="00A6575C" w14:paraId="2383727D"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B8FBACB" w14:textId="77777777" w:rsidR="0037412E" w:rsidRPr="00ED12C5" w:rsidRDefault="0037412E" w:rsidP="003F3556">
            <w:pPr>
              <w:widowControl/>
              <w:autoSpaceDE/>
              <w:autoSpaceDN/>
              <w:rPr>
                <w:rFonts w:eastAsia="Times New Roman" w:cs="Calibri"/>
                <w:b w:val="0"/>
                <w:bCs w:val="0"/>
                <w:sz w:val="18"/>
                <w:szCs w:val="18"/>
                <w:lang w:eastAsia="en-GB"/>
              </w:rPr>
            </w:pPr>
          </w:p>
        </w:tc>
        <w:tc>
          <w:tcPr>
            <w:tcW w:w="982" w:type="dxa"/>
            <w:tcBorders>
              <w:bottom w:val="single" w:sz="4" w:space="0" w:color="auto"/>
            </w:tcBorders>
            <w:noWrap/>
            <w:vAlign w:val="center"/>
            <w:hideMark/>
          </w:tcPr>
          <w:p w14:paraId="1D02E624"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982" w:type="dxa"/>
            <w:tcBorders>
              <w:bottom w:val="single" w:sz="4" w:space="0" w:color="auto"/>
            </w:tcBorders>
            <w:noWrap/>
            <w:vAlign w:val="center"/>
            <w:hideMark/>
          </w:tcPr>
          <w:p w14:paraId="27A3CCE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20" w:type="dxa"/>
            <w:tcBorders>
              <w:bottom w:val="single" w:sz="4" w:space="0" w:color="auto"/>
            </w:tcBorders>
            <w:noWrap/>
            <w:vAlign w:val="center"/>
            <w:hideMark/>
          </w:tcPr>
          <w:p w14:paraId="207855BD"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963" w:type="dxa"/>
            <w:tcBorders>
              <w:bottom w:val="single" w:sz="4" w:space="0" w:color="auto"/>
            </w:tcBorders>
            <w:noWrap/>
            <w:vAlign w:val="center"/>
            <w:hideMark/>
          </w:tcPr>
          <w:p w14:paraId="554EBF6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84" w:type="dxa"/>
            <w:tcBorders>
              <w:bottom w:val="single" w:sz="4" w:space="0" w:color="auto"/>
            </w:tcBorders>
            <w:noWrap/>
            <w:vAlign w:val="center"/>
            <w:hideMark/>
          </w:tcPr>
          <w:p w14:paraId="2460755F"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 </w:t>
            </w:r>
          </w:p>
        </w:tc>
      </w:tr>
      <w:tr w:rsidR="0037412E" w:rsidRPr="00A6575C" w14:paraId="552BC8DE"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noWrap/>
            <w:vAlign w:val="center"/>
            <w:hideMark/>
          </w:tcPr>
          <w:p w14:paraId="4AA780D2" w14:textId="77777777" w:rsidR="0037412E" w:rsidRPr="00ED12C5" w:rsidRDefault="0037412E" w:rsidP="003F3556">
            <w:pPr>
              <w:widowControl/>
              <w:autoSpaceDE/>
              <w:autoSpaceDN/>
              <w:rPr>
                <w:rFonts w:eastAsia="Times New Roman" w:cs="Calibri"/>
                <w:sz w:val="18"/>
                <w:szCs w:val="18"/>
                <w:lang w:eastAsia="en-GB"/>
              </w:rPr>
            </w:pPr>
            <w:r w:rsidRPr="00ED12C5">
              <w:rPr>
                <w:rFonts w:eastAsia="Times New Roman" w:cs="Calibri"/>
                <w:sz w:val="18"/>
                <w:szCs w:val="18"/>
                <w:lang w:eastAsia="en-GB"/>
              </w:rPr>
              <w:t>Total restricted funds</w:t>
            </w:r>
          </w:p>
        </w:tc>
        <w:tc>
          <w:tcPr>
            <w:tcW w:w="982" w:type="dxa"/>
            <w:tcBorders>
              <w:top w:val="single" w:sz="4" w:space="0" w:color="auto"/>
              <w:bottom w:val="single" w:sz="4" w:space="0" w:color="auto"/>
            </w:tcBorders>
            <w:noWrap/>
            <w:vAlign w:val="center"/>
            <w:hideMark/>
          </w:tcPr>
          <w:p w14:paraId="47E9A234"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7,130</w:t>
            </w:r>
          </w:p>
        </w:tc>
        <w:tc>
          <w:tcPr>
            <w:tcW w:w="982" w:type="dxa"/>
            <w:tcBorders>
              <w:top w:val="single" w:sz="4" w:space="0" w:color="auto"/>
              <w:bottom w:val="single" w:sz="4" w:space="0" w:color="auto"/>
            </w:tcBorders>
            <w:noWrap/>
            <w:vAlign w:val="center"/>
            <w:hideMark/>
          </w:tcPr>
          <w:p w14:paraId="53E513C7"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78,631</w:t>
            </w:r>
          </w:p>
        </w:tc>
        <w:tc>
          <w:tcPr>
            <w:tcW w:w="1120" w:type="dxa"/>
            <w:tcBorders>
              <w:top w:val="single" w:sz="4" w:space="0" w:color="auto"/>
              <w:bottom w:val="single" w:sz="4" w:space="0" w:color="auto"/>
            </w:tcBorders>
            <w:noWrap/>
            <w:vAlign w:val="center"/>
            <w:hideMark/>
          </w:tcPr>
          <w:p w14:paraId="78FA9CA9"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(84,343)</w:t>
            </w:r>
          </w:p>
        </w:tc>
        <w:tc>
          <w:tcPr>
            <w:tcW w:w="963" w:type="dxa"/>
            <w:tcBorders>
              <w:top w:val="single" w:sz="4" w:space="0" w:color="auto"/>
              <w:bottom w:val="single" w:sz="4" w:space="0" w:color="auto"/>
            </w:tcBorders>
            <w:noWrap/>
            <w:vAlign w:val="center"/>
            <w:hideMark/>
          </w:tcPr>
          <w:p w14:paraId="0C587918"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84" w:type="dxa"/>
            <w:tcBorders>
              <w:top w:val="single" w:sz="4" w:space="0" w:color="auto"/>
              <w:bottom w:val="single" w:sz="4" w:space="0" w:color="auto"/>
            </w:tcBorders>
            <w:noWrap/>
            <w:vAlign w:val="center"/>
            <w:hideMark/>
          </w:tcPr>
          <w:p w14:paraId="258407CB"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1,419</w:t>
            </w:r>
          </w:p>
        </w:tc>
      </w:tr>
      <w:tr w:rsidR="0037412E" w:rsidRPr="00A6575C" w14:paraId="5E9E5804"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noWrap/>
            <w:vAlign w:val="center"/>
            <w:hideMark/>
          </w:tcPr>
          <w:p w14:paraId="0BC5C97D" w14:textId="77777777" w:rsidR="0037412E" w:rsidRPr="00ED12C5" w:rsidRDefault="0037412E" w:rsidP="003F3556">
            <w:pPr>
              <w:widowControl/>
              <w:autoSpaceDE/>
              <w:autoSpaceDN/>
              <w:rPr>
                <w:rFonts w:eastAsia="Times New Roman" w:cs="Calibri"/>
                <w:sz w:val="18"/>
                <w:szCs w:val="18"/>
                <w:lang w:eastAsia="en-GB"/>
              </w:rPr>
            </w:pPr>
          </w:p>
        </w:tc>
        <w:tc>
          <w:tcPr>
            <w:tcW w:w="982" w:type="dxa"/>
            <w:tcBorders>
              <w:top w:val="single" w:sz="4" w:space="0" w:color="auto"/>
            </w:tcBorders>
            <w:noWrap/>
            <w:vAlign w:val="center"/>
            <w:hideMark/>
          </w:tcPr>
          <w:p w14:paraId="799800A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982" w:type="dxa"/>
            <w:tcBorders>
              <w:top w:val="single" w:sz="4" w:space="0" w:color="auto"/>
            </w:tcBorders>
            <w:noWrap/>
            <w:vAlign w:val="center"/>
            <w:hideMark/>
          </w:tcPr>
          <w:p w14:paraId="27E1D8E6"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20" w:type="dxa"/>
            <w:tcBorders>
              <w:top w:val="single" w:sz="4" w:space="0" w:color="auto"/>
            </w:tcBorders>
            <w:noWrap/>
            <w:vAlign w:val="center"/>
            <w:hideMark/>
          </w:tcPr>
          <w:p w14:paraId="32FAFD72"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963" w:type="dxa"/>
            <w:tcBorders>
              <w:top w:val="single" w:sz="4" w:space="0" w:color="auto"/>
            </w:tcBorders>
            <w:noWrap/>
            <w:vAlign w:val="center"/>
            <w:hideMark/>
          </w:tcPr>
          <w:p w14:paraId="7D0DA9FF"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84" w:type="dxa"/>
            <w:tcBorders>
              <w:top w:val="single" w:sz="4" w:space="0" w:color="auto"/>
            </w:tcBorders>
            <w:noWrap/>
            <w:vAlign w:val="center"/>
            <w:hideMark/>
          </w:tcPr>
          <w:p w14:paraId="74B1A89C"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 </w:t>
            </w:r>
          </w:p>
        </w:tc>
      </w:tr>
      <w:tr w:rsidR="0037412E" w:rsidRPr="00A6575C" w14:paraId="682CC469"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2606D11" w14:textId="77777777" w:rsidR="0037412E" w:rsidRPr="00ED12C5" w:rsidRDefault="0037412E" w:rsidP="003F3556">
            <w:pPr>
              <w:widowControl/>
              <w:autoSpaceDE/>
              <w:autoSpaceDN/>
              <w:rPr>
                <w:rFonts w:eastAsia="Times New Roman" w:cs="Calibri"/>
                <w:sz w:val="18"/>
                <w:szCs w:val="18"/>
                <w:lang w:eastAsia="en-GB"/>
              </w:rPr>
            </w:pPr>
            <w:r w:rsidRPr="00ED12C5">
              <w:rPr>
                <w:rFonts w:eastAsia="Times New Roman" w:cs="Calibri"/>
                <w:sz w:val="18"/>
                <w:szCs w:val="18"/>
                <w:lang w:eastAsia="en-GB"/>
              </w:rPr>
              <w:t>Unrestricted reserves:</w:t>
            </w:r>
          </w:p>
        </w:tc>
        <w:tc>
          <w:tcPr>
            <w:tcW w:w="982" w:type="dxa"/>
            <w:vAlign w:val="center"/>
            <w:hideMark/>
          </w:tcPr>
          <w:p w14:paraId="32F93546"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982" w:type="dxa"/>
            <w:vAlign w:val="center"/>
            <w:hideMark/>
          </w:tcPr>
          <w:p w14:paraId="7558CB78"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20" w:type="dxa"/>
            <w:vAlign w:val="center"/>
            <w:hideMark/>
          </w:tcPr>
          <w:p w14:paraId="33B81C45"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963" w:type="dxa"/>
            <w:vAlign w:val="center"/>
            <w:hideMark/>
          </w:tcPr>
          <w:p w14:paraId="4DBFBB6E"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84" w:type="dxa"/>
            <w:vAlign w:val="center"/>
            <w:hideMark/>
          </w:tcPr>
          <w:p w14:paraId="6DE7942F"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n-GB"/>
              </w:rPr>
            </w:pPr>
          </w:p>
        </w:tc>
      </w:tr>
      <w:tr w:rsidR="0037412E" w:rsidRPr="00A6575C" w14:paraId="12293C9A"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77DB5F" w14:textId="77777777" w:rsidR="0037412E" w:rsidRPr="00ED12C5" w:rsidRDefault="0037412E" w:rsidP="003F3556">
            <w:pPr>
              <w:widowControl/>
              <w:autoSpaceDE/>
              <w:autoSpaceDN/>
              <w:rPr>
                <w:rFonts w:eastAsia="Times New Roman" w:cs="Calibri"/>
                <w:sz w:val="18"/>
                <w:szCs w:val="18"/>
                <w:lang w:eastAsia="en-GB"/>
              </w:rPr>
            </w:pPr>
            <w:r w:rsidRPr="00ED12C5">
              <w:rPr>
                <w:rFonts w:eastAsia="Times New Roman" w:cs="Calibri"/>
                <w:sz w:val="18"/>
                <w:szCs w:val="18"/>
                <w:lang w:eastAsia="en-GB"/>
              </w:rPr>
              <w:t>Designated reserves:</w:t>
            </w:r>
          </w:p>
        </w:tc>
        <w:tc>
          <w:tcPr>
            <w:tcW w:w="982" w:type="dxa"/>
            <w:vAlign w:val="center"/>
            <w:hideMark/>
          </w:tcPr>
          <w:p w14:paraId="2E5CA5B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982" w:type="dxa"/>
            <w:vAlign w:val="center"/>
            <w:hideMark/>
          </w:tcPr>
          <w:p w14:paraId="3499AD02"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120" w:type="dxa"/>
            <w:noWrap/>
            <w:vAlign w:val="center"/>
            <w:hideMark/>
          </w:tcPr>
          <w:p w14:paraId="32A8009F"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963" w:type="dxa"/>
            <w:vAlign w:val="center"/>
            <w:hideMark/>
          </w:tcPr>
          <w:p w14:paraId="3691242E"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184" w:type="dxa"/>
            <w:vAlign w:val="center"/>
            <w:hideMark/>
          </w:tcPr>
          <w:p w14:paraId="38CC56C3"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eastAsia="en-GB"/>
              </w:rPr>
            </w:pPr>
          </w:p>
        </w:tc>
      </w:tr>
      <w:tr w:rsidR="0037412E" w:rsidRPr="00A6575C" w14:paraId="343FEE66"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306978B"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Centenary Reserve</w:t>
            </w:r>
          </w:p>
        </w:tc>
        <w:tc>
          <w:tcPr>
            <w:tcW w:w="982" w:type="dxa"/>
            <w:noWrap/>
            <w:vAlign w:val="center"/>
            <w:hideMark/>
          </w:tcPr>
          <w:p w14:paraId="37D0764A"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250,000</w:t>
            </w:r>
          </w:p>
        </w:tc>
        <w:tc>
          <w:tcPr>
            <w:tcW w:w="982" w:type="dxa"/>
            <w:noWrap/>
            <w:vAlign w:val="center"/>
            <w:hideMark/>
          </w:tcPr>
          <w:p w14:paraId="4211FA3A"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20" w:type="dxa"/>
            <w:noWrap/>
            <w:vAlign w:val="center"/>
            <w:hideMark/>
          </w:tcPr>
          <w:p w14:paraId="506D6578"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(132,432)</w:t>
            </w:r>
          </w:p>
        </w:tc>
        <w:tc>
          <w:tcPr>
            <w:tcW w:w="963" w:type="dxa"/>
            <w:noWrap/>
            <w:vAlign w:val="center"/>
            <w:hideMark/>
          </w:tcPr>
          <w:p w14:paraId="50FBF89C"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(70,000)</w:t>
            </w:r>
          </w:p>
        </w:tc>
        <w:tc>
          <w:tcPr>
            <w:tcW w:w="1184" w:type="dxa"/>
            <w:noWrap/>
            <w:vAlign w:val="center"/>
            <w:hideMark/>
          </w:tcPr>
          <w:p w14:paraId="7F59D4A6"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47,568</w:t>
            </w:r>
          </w:p>
        </w:tc>
      </w:tr>
      <w:tr w:rsidR="0037412E" w:rsidRPr="00A6575C" w14:paraId="30DEA714"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A98FE8"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Partner Support Reserve</w:t>
            </w:r>
          </w:p>
        </w:tc>
        <w:tc>
          <w:tcPr>
            <w:tcW w:w="982" w:type="dxa"/>
            <w:noWrap/>
            <w:vAlign w:val="center"/>
            <w:hideMark/>
          </w:tcPr>
          <w:p w14:paraId="20284447"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250,000</w:t>
            </w:r>
          </w:p>
        </w:tc>
        <w:tc>
          <w:tcPr>
            <w:tcW w:w="982" w:type="dxa"/>
            <w:noWrap/>
            <w:vAlign w:val="center"/>
            <w:hideMark/>
          </w:tcPr>
          <w:p w14:paraId="242CAF9D"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20" w:type="dxa"/>
            <w:noWrap/>
            <w:vAlign w:val="center"/>
            <w:hideMark/>
          </w:tcPr>
          <w:p w14:paraId="4F4A53F3"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63" w:type="dxa"/>
            <w:noWrap/>
            <w:vAlign w:val="center"/>
            <w:hideMark/>
          </w:tcPr>
          <w:p w14:paraId="58807D47"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(250,000)</w:t>
            </w:r>
          </w:p>
        </w:tc>
        <w:tc>
          <w:tcPr>
            <w:tcW w:w="1184" w:type="dxa"/>
            <w:noWrap/>
            <w:vAlign w:val="center"/>
            <w:hideMark/>
          </w:tcPr>
          <w:p w14:paraId="0D8E8DB2"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w:t>
            </w:r>
          </w:p>
        </w:tc>
      </w:tr>
      <w:tr w:rsidR="0037412E" w:rsidRPr="00A6575C" w14:paraId="5982AB1B"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8BC73B1"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Strategic Grants Reserve</w:t>
            </w:r>
          </w:p>
        </w:tc>
        <w:tc>
          <w:tcPr>
            <w:tcW w:w="982" w:type="dxa"/>
            <w:noWrap/>
            <w:vAlign w:val="center"/>
            <w:hideMark/>
          </w:tcPr>
          <w:p w14:paraId="6F006439"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82" w:type="dxa"/>
            <w:noWrap/>
            <w:vAlign w:val="center"/>
            <w:hideMark/>
          </w:tcPr>
          <w:p w14:paraId="303CF26E"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20" w:type="dxa"/>
            <w:noWrap/>
            <w:vAlign w:val="center"/>
            <w:hideMark/>
          </w:tcPr>
          <w:p w14:paraId="390A0EC5"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63" w:type="dxa"/>
            <w:noWrap/>
            <w:vAlign w:val="center"/>
            <w:hideMark/>
          </w:tcPr>
          <w:p w14:paraId="6A5D2DE2"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350,000</w:t>
            </w:r>
          </w:p>
        </w:tc>
        <w:tc>
          <w:tcPr>
            <w:tcW w:w="1184" w:type="dxa"/>
            <w:noWrap/>
            <w:vAlign w:val="center"/>
            <w:hideMark/>
          </w:tcPr>
          <w:p w14:paraId="4D949E1D"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350,000</w:t>
            </w:r>
          </w:p>
        </w:tc>
      </w:tr>
      <w:tr w:rsidR="0037412E" w:rsidRPr="00A6575C" w14:paraId="38466182"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4EB0C38" w14:textId="77777777" w:rsidR="0037412E" w:rsidRPr="00ED12C5" w:rsidRDefault="0037412E" w:rsidP="003F3556">
            <w:pPr>
              <w:widowControl/>
              <w:autoSpaceDE/>
              <w:autoSpaceDN/>
              <w:rPr>
                <w:rFonts w:eastAsia="Times New Roman" w:cs="Calibri"/>
                <w:b w:val="0"/>
                <w:bCs w:val="0"/>
                <w:sz w:val="18"/>
                <w:szCs w:val="18"/>
                <w:lang w:eastAsia="en-GB"/>
              </w:rPr>
            </w:pPr>
            <w:r w:rsidRPr="00ED12C5">
              <w:rPr>
                <w:rFonts w:eastAsia="Times New Roman" w:cs="Calibri"/>
                <w:b w:val="0"/>
                <w:bCs w:val="0"/>
                <w:sz w:val="18"/>
                <w:szCs w:val="18"/>
                <w:lang w:eastAsia="en-GB"/>
              </w:rPr>
              <w:t>Strategic Purposes Reserve</w:t>
            </w:r>
          </w:p>
        </w:tc>
        <w:tc>
          <w:tcPr>
            <w:tcW w:w="982" w:type="dxa"/>
            <w:tcBorders>
              <w:bottom w:val="single" w:sz="4" w:space="0" w:color="auto"/>
            </w:tcBorders>
            <w:noWrap/>
            <w:vAlign w:val="center"/>
            <w:hideMark/>
          </w:tcPr>
          <w:p w14:paraId="4A4475D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178,000</w:t>
            </w:r>
          </w:p>
        </w:tc>
        <w:tc>
          <w:tcPr>
            <w:tcW w:w="982" w:type="dxa"/>
            <w:tcBorders>
              <w:bottom w:val="single" w:sz="4" w:space="0" w:color="auto"/>
            </w:tcBorders>
            <w:noWrap/>
            <w:vAlign w:val="center"/>
            <w:hideMark/>
          </w:tcPr>
          <w:p w14:paraId="300E91FA"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20" w:type="dxa"/>
            <w:tcBorders>
              <w:bottom w:val="single" w:sz="4" w:space="0" w:color="auto"/>
            </w:tcBorders>
            <w:noWrap/>
            <w:vAlign w:val="center"/>
            <w:hideMark/>
          </w:tcPr>
          <w:p w14:paraId="1DBEE59B"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963" w:type="dxa"/>
            <w:tcBorders>
              <w:bottom w:val="single" w:sz="4" w:space="0" w:color="auto"/>
            </w:tcBorders>
            <w:noWrap/>
            <w:vAlign w:val="center"/>
            <w:hideMark/>
          </w:tcPr>
          <w:p w14:paraId="747232FF"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22,000</w:t>
            </w:r>
          </w:p>
        </w:tc>
        <w:tc>
          <w:tcPr>
            <w:tcW w:w="1184" w:type="dxa"/>
            <w:tcBorders>
              <w:bottom w:val="single" w:sz="4" w:space="0" w:color="auto"/>
            </w:tcBorders>
            <w:noWrap/>
            <w:vAlign w:val="center"/>
            <w:hideMark/>
          </w:tcPr>
          <w:p w14:paraId="1D93559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200,000</w:t>
            </w:r>
          </w:p>
        </w:tc>
      </w:tr>
      <w:tr w:rsidR="0037412E" w:rsidRPr="00A6575C" w14:paraId="33E9C347"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F179D27" w14:textId="77777777" w:rsidR="0037412E" w:rsidRPr="00ED12C5" w:rsidRDefault="0037412E" w:rsidP="003F3556">
            <w:pPr>
              <w:widowControl/>
              <w:autoSpaceDE/>
              <w:autoSpaceDN/>
              <w:rPr>
                <w:rFonts w:eastAsia="Times New Roman" w:cs="Calibri"/>
                <w:sz w:val="18"/>
                <w:szCs w:val="18"/>
                <w:lang w:eastAsia="en-GB"/>
              </w:rPr>
            </w:pPr>
          </w:p>
        </w:tc>
        <w:tc>
          <w:tcPr>
            <w:tcW w:w="982" w:type="dxa"/>
            <w:tcBorders>
              <w:top w:val="single" w:sz="4" w:space="0" w:color="auto"/>
            </w:tcBorders>
            <w:vAlign w:val="center"/>
            <w:hideMark/>
          </w:tcPr>
          <w:p w14:paraId="5FE3E180"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982" w:type="dxa"/>
            <w:tcBorders>
              <w:top w:val="single" w:sz="4" w:space="0" w:color="auto"/>
            </w:tcBorders>
            <w:vAlign w:val="center"/>
            <w:hideMark/>
          </w:tcPr>
          <w:p w14:paraId="21E35381"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20" w:type="dxa"/>
            <w:tcBorders>
              <w:top w:val="single" w:sz="4" w:space="0" w:color="auto"/>
            </w:tcBorders>
            <w:vAlign w:val="center"/>
            <w:hideMark/>
          </w:tcPr>
          <w:p w14:paraId="18759751"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963" w:type="dxa"/>
            <w:tcBorders>
              <w:top w:val="single" w:sz="4" w:space="0" w:color="auto"/>
            </w:tcBorders>
            <w:vAlign w:val="center"/>
            <w:hideMark/>
          </w:tcPr>
          <w:p w14:paraId="52B34679"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84" w:type="dxa"/>
            <w:tcBorders>
              <w:top w:val="single" w:sz="4" w:space="0" w:color="auto"/>
            </w:tcBorders>
            <w:vAlign w:val="center"/>
            <w:hideMark/>
          </w:tcPr>
          <w:p w14:paraId="15B09FA9"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n-GB"/>
              </w:rPr>
            </w:pPr>
          </w:p>
        </w:tc>
      </w:tr>
      <w:tr w:rsidR="0037412E" w:rsidRPr="00A6575C" w14:paraId="5C10441A"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noWrap/>
            <w:vAlign w:val="center"/>
            <w:hideMark/>
          </w:tcPr>
          <w:p w14:paraId="29F54D11" w14:textId="77777777" w:rsidR="0037412E" w:rsidRPr="00ED12C5" w:rsidRDefault="0037412E" w:rsidP="003F3556">
            <w:pPr>
              <w:widowControl/>
              <w:autoSpaceDE/>
              <w:autoSpaceDN/>
              <w:rPr>
                <w:rFonts w:eastAsia="Times New Roman" w:cs="Calibri"/>
                <w:sz w:val="18"/>
                <w:szCs w:val="18"/>
                <w:lang w:eastAsia="en-GB"/>
              </w:rPr>
            </w:pPr>
            <w:r w:rsidRPr="00ED12C5">
              <w:rPr>
                <w:rFonts w:eastAsia="Times New Roman" w:cs="Calibri"/>
                <w:sz w:val="18"/>
                <w:szCs w:val="18"/>
                <w:lang w:eastAsia="en-GB"/>
              </w:rPr>
              <w:t>Total designated reserves</w:t>
            </w:r>
          </w:p>
        </w:tc>
        <w:tc>
          <w:tcPr>
            <w:tcW w:w="982" w:type="dxa"/>
            <w:tcBorders>
              <w:bottom w:val="single" w:sz="4" w:space="0" w:color="auto"/>
            </w:tcBorders>
            <w:noWrap/>
            <w:vAlign w:val="center"/>
            <w:hideMark/>
          </w:tcPr>
          <w:p w14:paraId="1A861C78"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678,000</w:t>
            </w:r>
          </w:p>
        </w:tc>
        <w:tc>
          <w:tcPr>
            <w:tcW w:w="982" w:type="dxa"/>
            <w:tcBorders>
              <w:bottom w:val="single" w:sz="4" w:space="0" w:color="auto"/>
            </w:tcBorders>
            <w:noWrap/>
            <w:vAlign w:val="center"/>
            <w:hideMark/>
          </w:tcPr>
          <w:p w14:paraId="3E6904BA"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20" w:type="dxa"/>
            <w:tcBorders>
              <w:bottom w:val="single" w:sz="4" w:space="0" w:color="auto"/>
            </w:tcBorders>
            <w:noWrap/>
            <w:vAlign w:val="center"/>
            <w:hideMark/>
          </w:tcPr>
          <w:p w14:paraId="0886A9AA"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(132,432)</w:t>
            </w:r>
          </w:p>
        </w:tc>
        <w:tc>
          <w:tcPr>
            <w:tcW w:w="963" w:type="dxa"/>
            <w:tcBorders>
              <w:bottom w:val="single" w:sz="4" w:space="0" w:color="auto"/>
            </w:tcBorders>
            <w:noWrap/>
            <w:vAlign w:val="center"/>
            <w:hideMark/>
          </w:tcPr>
          <w:p w14:paraId="58274230"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52,000</w:t>
            </w:r>
          </w:p>
        </w:tc>
        <w:tc>
          <w:tcPr>
            <w:tcW w:w="1184" w:type="dxa"/>
            <w:tcBorders>
              <w:bottom w:val="single" w:sz="4" w:space="0" w:color="auto"/>
            </w:tcBorders>
            <w:noWrap/>
            <w:vAlign w:val="center"/>
            <w:hideMark/>
          </w:tcPr>
          <w:p w14:paraId="5F4E5B45"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597,568</w:t>
            </w:r>
          </w:p>
        </w:tc>
      </w:tr>
      <w:tr w:rsidR="0037412E" w:rsidRPr="00A6575C" w14:paraId="0D57E10E"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71171B5" w14:textId="77777777" w:rsidR="0037412E" w:rsidRPr="00ED12C5" w:rsidRDefault="0037412E" w:rsidP="003F3556">
            <w:pPr>
              <w:widowControl/>
              <w:autoSpaceDE/>
              <w:autoSpaceDN/>
              <w:rPr>
                <w:rFonts w:eastAsia="Times New Roman" w:cs="Calibri"/>
                <w:sz w:val="18"/>
                <w:szCs w:val="18"/>
                <w:lang w:eastAsia="en-GB"/>
              </w:rPr>
            </w:pPr>
          </w:p>
        </w:tc>
        <w:tc>
          <w:tcPr>
            <w:tcW w:w="982" w:type="dxa"/>
            <w:tcBorders>
              <w:top w:val="single" w:sz="4" w:space="0" w:color="auto"/>
            </w:tcBorders>
            <w:noWrap/>
            <w:vAlign w:val="center"/>
            <w:hideMark/>
          </w:tcPr>
          <w:p w14:paraId="7C58FEB3"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982" w:type="dxa"/>
            <w:tcBorders>
              <w:top w:val="single" w:sz="4" w:space="0" w:color="auto"/>
            </w:tcBorders>
            <w:noWrap/>
            <w:vAlign w:val="center"/>
            <w:hideMark/>
          </w:tcPr>
          <w:p w14:paraId="388706B7"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20" w:type="dxa"/>
            <w:tcBorders>
              <w:top w:val="single" w:sz="4" w:space="0" w:color="auto"/>
            </w:tcBorders>
            <w:noWrap/>
            <w:vAlign w:val="center"/>
            <w:hideMark/>
          </w:tcPr>
          <w:p w14:paraId="00116E23"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963" w:type="dxa"/>
            <w:tcBorders>
              <w:top w:val="single" w:sz="4" w:space="0" w:color="auto"/>
            </w:tcBorders>
            <w:noWrap/>
            <w:vAlign w:val="center"/>
            <w:hideMark/>
          </w:tcPr>
          <w:p w14:paraId="16148C60"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84" w:type="dxa"/>
            <w:tcBorders>
              <w:top w:val="single" w:sz="4" w:space="0" w:color="auto"/>
            </w:tcBorders>
            <w:noWrap/>
            <w:vAlign w:val="center"/>
            <w:hideMark/>
          </w:tcPr>
          <w:p w14:paraId="72A70AD7"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 </w:t>
            </w:r>
          </w:p>
        </w:tc>
      </w:tr>
      <w:tr w:rsidR="0037412E" w:rsidRPr="00A6575C" w14:paraId="68CE813B"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noWrap/>
            <w:vAlign w:val="center"/>
            <w:hideMark/>
          </w:tcPr>
          <w:p w14:paraId="352A6353" w14:textId="77777777" w:rsidR="0037412E" w:rsidRPr="00ED12C5" w:rsidRDefault="0037412E" w:rsidP="003F3556">
            <w:pPr>
              <w:widowControl/>
              <w:autoSpaceDE/>
              <w:autoSpaceDN/>
              <w:rPr>
                <w:rFonts w:eastAsia="Times New Roman" w:cs="Calibri"/>
                <w:sz w:val="18"/>
                <w:szCs w:val="18"/>
                <w:lang w:eastAsia="en-GB"/>
              </w:rPr>
            </w:pPr>
            <w:r w:rsidRPr="00ED12C5">
              <w:rPr>
                <w:rFonts w:eastAsia="Times New Roman" w:cs="Calibri"/>
                <w:sz w:val="18"/>
                <w:szCs w:val="18"/>
                <w:lang w:eastAsia="en-GB"/>
              </w:rPr>
              <w:t>General reserves</w:t>
            </w:r>
          </w:p>
        </w:tc>
        <w:tc>
          <w:tcPr>
            <w:tcW w:w="982" w:type="dxa"/>
            <w:noWrap/>
            <w:vAlign w:val="center"/>
            <w:hideMark/>
          </w:tcPr>
          <w:p w14:paraId="35DEA8EE"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1,427,954</w:t>
            </w:r>
          </w:p>
        </w:tc>
        <w:tc>
          <w:tcPr>
            <w:tcW w:w="982" w:type="dxa"/>
            <w:noWrap/>
            <w:vAlign w:val="center"/>
            <w:hideMark/>
          </w:tcPr>
          <w:p w14:paraId="3224FA6F"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1,863,195</w:t>
            </w:r>
          </w:p>
        </w:tc>
        <w:tc>
          <w:tcPr>
            <w:tcW w:w="1120" w:type="dxa"/>
            <w:noWrap/>
            <w:vAlign w:val="center"/>
            <w:hideMark/>
          </w:tcPr>
          <w:p w14:paraId="0621DA90"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(1,605,251)</w:t>
            </w:r>
          </w:p>
        </w:tc>
        <w:tc>
          <w:tcPr>
            <w:tcW w:w="963" w:type="dxa"/>
            <w:noWrap/>
            <w:vAlign w:val="center"/>
            <w:hideMark/>
          </w:tcPr>
          <w:p w14:paraId="038F1676"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(52,000)</w:t>
            </w:r>
          </w:p>
        </w:tc>
        <w:tc>
          <w:tcPr>
            <w:tcW w:w="1184" w:type="dxa"/>
            <w:noWrap/>
            <w:vAlign w:val="center"/>
            <w:hideMark/>
          </w:tcPr>
          <w:p w14:paraId="508DBE68"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1,633,898</w:t>
            </w:r>
          </w:p>
        </w:tc>
      </w:tr>
      <w:tr w:rsidR="0037412E" w:rsidRPr="00A6575C" w14:paraId="414AA74E"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noWrap/>
            <w:vAlign w:val="center"/>
            <w:hideMark/>
          </w:tcPr>
          <w:p w14:paraId="5540B263" w14:textId="77777777" w:rsidR="0037412E" w:rsidRPr="00ED12C5" w:rsidRDefault="0037412E" w:rsidP="003F3556">
            <w:pPr>
              <w:widowControl/>
              <w:autoSpaceDE/>
              <w:autoSpaceDN/>
              <w:rPr>
                <w:rFonts w:eastAsia="Times New Roman" w:cs="Calibri"/>
                <w:sz w:val="18"/>
                <w:szCs w:val="18"/>
                <w:lang w:eastAsia="en-GB"/>
              </w:rPr>
            </w:pPr>
            <w:r w:rsidRPr="00ED12C5">
              <w:rPr>
                <w:rFonts w:eastAsia="Times New Roman" w:cs="Calibri"/>
                <w:sz w:val="18"/>
                <w:szCs w:val="18"/>
                <w:lang w:eastAsia="en-GB"/>
              </w:rPr>
              <w:t>Trading reserves</w:t>
            </w:r>
          </w:p>
        </w:tc>
        <w:tc>
          <w:tcPr>
            <w:tcW w:w="982" w:type="dxa"/>
            <w:tcBorders>
              <w:bottom w:val="single" w:sz="4" w:space="0" w:color="auto"/>
            </w:tcBorders>
            <w:noWrap/>
            <w:vAlign w:val="center"/>
            <w:hideMark/>
          </w:tcPr>
          <w:p w14:paraId="62299787"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111,603</w:t>
            </w:r>
          </w:p>
        </w:tc>
        <w:tc>
          <w:tcPr>
            <w:tcW w:w="982" w:type="dxa"/>
            <w:tcBorders>
              <w:bottom w:val="single" w:sz="4" w:space="0" w:color="auto"/>
            </w:tcBorders>
            <w:noWrap/>
            <w:vAlign w:val="center"/>
            <w:hideMark/>
          </w:tcPr>
          <w:p w14:paraId="52F0D8DF"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645,434</w:t>
            </w:r>
          </w:p>
        </w:tc>
        <w:tc>
          <w:tcPr>
            <w:tcW w:w="1120" w:type="dxa"/>
            <w:tcBorders>
              <w:bottom w:val="single" w:sz="4" w:space="0" w:color="auto"/>
            </w:tcBorders>
            <w:noWrap/>
            <w:vAlign w:val="center"/>
            <w:hideMark/>
          </w:tcPr>
          <w:p w14:paraId="70B9BC73"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(786,259)</w:t>
            </w:r>
          </w:p>
        </w:tc>
        <w:tc>
          <w:tcPr>
            <w:tcW w:w="963" w:type="dxa"/>
            <w:tcBorders>
              <w:bottom w:val="single" w:sz="4" w:space="0" w:color="auto"/>
            </w:tcBorders>
            <w:noWrap/>
            <w:vAlign w:val="center"/>
            <w:hideMark/>
          </w:tcPr>
          <w:p w14:paraId="55B90F24"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84" w:type="dxa"/>
            <w:tcBorders>
              <w:bottom w:val="single" w:sz="4" w:space="0" w:color="auto"/>
            </w:tcBorders>
            <w:noWrap/>
            <w:vAlign w:val="center"/>
            <w:hideMark/>
          </w:tcPr>
          <w:p w14:paraId="442B0424"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(29,222)</w:t>
            </w:r>
          </w:p>
        </w:tc>
      </w:tr>
      <w:tr w:rsidR="0037412E" w:rsidRPr="00A6575C" w14:paraId="59D176AC"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8012716" w14:textId="77777777" w:rsidR="0037412E" w:rsidRPr="00ED12C5" w:rsidRDefault="0037412E" w:rsidP="003F3556">
            <w:pPr>
              <w:widowControl/>
              <w:autoSpaceDE/>
              <w:autoSpaceDN/>
              <w:rPr>
                <w:rFonts w:eastAsia="Times New Roman" w:cs="Calibri"/>
                <w:sz w:val="18"/>
                <w:szCs w:val="18"/>
                <w:lang w:eastAsia="en-GB"/>
              </w:rPr>
            </w:pPr>
          </w:p>
        </w:tc>
        <w:tc>
          <w:tcPr>
            <w:tcW w:w="982" w:type="dxa"/>
            <w:tcBorders>
              <w:top w:val="single" w:sz="4" w:space="0" w:color="auto"/>
            </w:tcBorders>
            <w:noWrap/>
            <w:vAlign w:val="center"/>
            <w:hideMark/>
          </w:tcPr>
          <w:p w14:paraId="6849AC9A"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982" w:type="dxa"/>
            <w:tcBorders>
              <w:top w:val="single" w:sz="4" w:space="0" w:color="auto"/>
            </w:tcBorders>
            <w:noWrap/>
            <w:vAlign w:val="center"/>
            <w:hideMark/>
          </w:tcPr>
          <w:p w14:paraId="671A4B9A"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20" w:type="dxa"/>
            <w:tcBorders>
              <w:top w:val="single" w:sz="4" w:space="0" w:color="auto"/>
            </w:tcBorders>
            <w:noWrap/>
            <w:vAlign w:val="center"/>
            <w:hideMark/>
          </w:tcPr>
          <w:p w14:paraId="21EAC458"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963" w:type="dxa"/>
            <w:tcBorders>
              <w:top w:val="single" w:sz="4" w:space="0" w:color="auto"/>
            </w:tcBorders>
            <w:noWrap/>
            <w:vAlign w:val="center"/>
            <w:hideMark/>
          </w:tcPr>
          <w:p w14:paraId="7DFCA287"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84" w:type="dxa"/>
            <w:tcBorders>
              <w:top w:val="single" w:sz="4" w:space="0" w:color="auto"/>
            </w:tcBorders>
            <w:noWrap/>
            <w:vAlign w:val="center"/>
            <w:hideMark/>
          </w:tcPr>
          <w:p w14:paraId="30983261" w14:textId="77777777" w:rsidR="0037412E" w:rsidRPr="00ED12C5" w:rsidRDefault="0037412E" w:rsidP="003F355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 </w:t>
            </w:r>
          </w:p>
        </w:tc>
      </w:tr>
      <w:tr w:rsidR="0037412E" w:rsidRPr="00A6575C" w14:paraId="68A93923"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2966CE8" w14:textId="77777777" w:rsidR="0037412E" w:rsidRPr="00ED12C5" w:rsidRDefault="0037412E" w:rsidP="003F3556">
            <w:pPr>
              <w:widowControl/>
              <w:autoSpaceDE/>
              <w:autoSpaceDN/>
              <w:rPr>
                <w:rFonts w:eastAsia="Times New Roman" w:cs="Calibri"/>
                <w:sz w:val="18"/>
                <w:szCs w:val="18"/>
                <w:lang w:eastAsia="en-GB"/>
              </w:rPr>
            </w:pPr>
            <w:r w:rsidRPr="00ED12C5">
              <w:rPr>
                <w:rFonts w:eastAsia="Times New Roman" w:cs="Calibri"/>
                <w:sz w:val="18"/>
                <w:szCs w:val="18"/>
                <w:lang w:eastAsia="en-GB"/>
              </w:rPr>
              <w:t>Total reserves</w:t>
            </w:r>
          </w:p>
        </w:tc>
        <w:tc>
          <w:tcPr>
            <w:tcW w:w="982" w:type="dxa"/>
            <w:tcBorders>
              <w:bottom w:val="double" w:sz="4" w:space="0" w:color="auto"/>
            </w:tcBorders>
            <w:noWrap/>
            <w:vAlign w:val="center"/>
            <w:hideMark/>
          </w:tcPr>
          <w:p w14:paraId="74BD0806"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2,224,687</w:t>
            </w:r>
          </w:p>
        </w:tc>
        <w:tc>
          <w:tcPr>
            <w:tcW w:w="982" w:type="dxa"/>
            <w:tcBorders>
              <w:bottom w:val="double" w:sz="4" w:space="0" w:color="auto"/>
            </w:tcBorders>
            <w:noWrap/>
            <w:vAlign w:val="center"/>
            <w:hideMark/>
          </w:tcPr>
          <w:p w14:paraId="2A74E741"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2,587,261</w:t>
            </w:r>
          </w:p>
        </w:tc>
        <w:tc>
          <w:tcPr>
            <w:tcW w:w="1120" w:type="dxa"/>
            <w:tcBorders>
              <w:bottom w:val="double" w:sz="4" w:space="0" w:color="auto"/>
            </w:tcBorders>
            <w:noWrap/>
            <w:vAlign w:val="center"/>
            <w:hideMark/>
          </w:tcPr>
          <w:p w14:paraId="4928984A"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(2,608,285)</w:t>
            </w:r>
          </w:p>
        </w:tc>
        <w:tc>
          <w:tcPr>
            <w:tcW w:w="963" w:type="dxa"/>
            <w:tcBorders>
              <w:bottom w:val="double" w:sz="4" w:space="0" w:color="auto"/>
            </w:tcBorders>
            <w:noWrap/>
            <w:vAlign w:val="center"/>
            <w:hideMark/>
          </w:tcPr>
          <w:p w14:paraId="4FC90771"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84" w:type="dxa"/>
            <w:tcBorders>
              <w:bottom w:val="double" w:sz="4" w:space="0" w:color="auto"/>
            </w:tcBorders>
            <w:noWrap/>
            <w:vAlign w:val="center"/>
            <w:hideMark/>
          </w:tcPr>
          <w:p w14:paraId="2916BEFA" w14:textId="77777777" w:rsidR="0037412E" w:rsidRPr="00ED12C5" w:rsidRDefault="0037412E" w:rsidP="003F355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2,203,663</w:t>
            </w:r>
          </w:p>
        </w:tc>
      </w:tr>
    </w:tbl>
    <w:p w14:paraId="30E055C1" w14:textId="77777777" w:rsidR="0037412E" w:rsidRPr="00A6575C" w:rsidRDefault="0037412E" w:rsidP="00C74404">
      <w:pPr>
        <w:pStyle w:val="ListNumber"/>
        <w:numPr>
          <w:ilvl w:val="0"/>
          <w:numId w:val="0"/>
        </w:numPr>
        <w:ind w:left="360" w:hanging="360"/>
        <w:rPr>
          <w:b w:val="0"/>
          <w:bCs/>
          <w:sz w:val="18"/>
          <w:szCs w:val="18"/>
        </w:rPr>
      </w:pPr>
    </w:p>
    <w:p w14:paraId="20C13FD3" w14:textId="13153D60" w:rsidR="00C74404" w:rsidRPr="003F3556" w:rsidRDefault="0037412E" w:rsidP="003F3556">
      <w:pPr>
        <w:pStyle w:val="TableParagraph"/>
      </w:pPr>
      <w:r w:rsidRPr="003F3556">
        <w:t>The narrative to explain the purpose of each reserve is given at the foot of the note below.</w:t>
      </w:r>
    </w:p>
    <w:p w14:paraId="066F121C" w14:textId="0617C7FA" w:rsidR="00C74404" w:rsidRDefault="00C74404" w:rsidP="0037412E">
      <w:pPr>
        <w:pStyle w:val="ListNumber"/>
        <w:numPr>
          <w:ilvl w:val="0"/>
          <w:numId w:val="0"/>
        </w:numPr>
        <w:rPr>
          <w:sz w:val="18"/>
          <w:szCs w:val="18"/>
        </w:rPr>
      </w:pPr>
    </w:p>
    <w:p w14:paraId="595F840E" w14:textId="4059FCCE" w:rsidR="00A6575C" w:rsidRDefault="00A6575C" w:rsidP="0037412E">
      <w:pPr>
        <w:pStyle w:val="ListNumber"/>
        <w:numPr>
          <w:ilvl w:val="0"/>
          <w:numId w:val="0"/>
        </w:numPr>
        <w:rPr>
          <w:sz w:val="18"/>
          <w:szCs w:val="18"/>
        </w:rPr>
      </w:pPr>
    </w:p>
    <w:p w14:paraId="57443E01" w14:textId="700B9E07" w:rsidR="00A6575C" w:rsidRDefault="00A6575C" w:rsidP="0037412E">
      <w:pPr>
        <w:pStyle w:val="ListNumber"/>
        <w:numPr>
          <w:ilvl w:val="0"/>
          <w:numId w:val="0"/>
        </w:numPr>
        <w:rPr>
          <w:sz w:val="18"/>
          <w:szCs w:val="18"/>
        </w:rPr>
      </w:pPr>
    </w:p>
    <w:p w14:paraId="08BA6171" w14:textId="7138D8EE" w:rsidR="00A6575C" w:rsidRDefault="00A6575C" w:rsidP="0037412E">
      <w:pPr>
        <w:pStyle w:val="ListNumber"/>
        <w:numPr>
          <w:ilvl w:val="0"/>
          <w:numId w:val="0"/>
        </w:numPr>
        <w:rPr>
          <w:sz w:val="18"/>
          <w:szCs w:val="18"/>
        </w:rPr>
      </w:pPr>
    </w:p>
    <w:p w14:paraId="2CE71B19" w14:textId="390752A4" w:rsidR="00A6575C" w:rsidRDefault="00A6575C" w:rsidP="0037412E">
      <w:pPr>
        <w:pStyle w:val="ListNumber"/>
        <w:numPr>
          <w:ilvl w:val="0"/>
          <w:numId w:val="0"/>
        </w:numPr>
        <w:rPr>
          <w:sz w:val="18"/>
          <w:szCs w:val="18"/>
        </w:rPr>
      </w:pPr>
    </w:p>
    <w:p w14:paraId="68FA3F22" w14:textId="6354E838" w:rsidR="00A6575C" w:rsidRDefault="00A6575C" w:rsidP="0037412E">
      <w:pPr>
        <w:pStyle w:val="ListNumber"/>
        <w:numPr>
          <w:ilvl w:val="0"/>
          <w:numId w:val="0"/>
        </w:numPr>
        <w:rPr>
          <w:sz w:val="18"/>
          <w:szCs w:val="18"/>
        </w:rPr>
      </w:pPr>
    </w:p>
    <w:p w14:paraId="4B5DA9A0" w14:textId="63412D93" w:rsidR="00A6575C" w:rsidRDefault="00A6575C" w:rsidP="0037412E">
      <w:pPr>
        <w:pStyle w:val="ListNumber"/>
        <w:numPr>
          <w:ilvl w:val="0"/>
          <w:numId w:val="0"/>
        </w:numPr>
        <w:rPr>
          <w:sz w:val="18"/>
          <w:szCs w:val="18"/>
        </w:rPr>
      </w:pPr>
    </w:p>
    <w:p w14:paraId="567E410F" w14:textId="4492C26D" w:rsidR="00A6575C" w:rsidRDefault="00A6575C" w:rsidP="0037412E">
      <w:pPr>
        <w:pStyle w:val="ListNumber"/>
        <w:numPr>
          <w:ilvl w:val="0"/>
          <w:numId w:val="0"/>
        </w:numPr>
        <w:rPr>
          <w:sz w:val="18"/>
          <w:szCs w:val="18"/>
        </w:rPr>
      </w:pPr>
    </w:p>
    <w:p w14:paraId="4D39B19A" w14:textId="395F5143" w:rsidR="00A6575C" w:rsidRDefault="00A6575C" w:rsidP="0037412E">
      <w:pPr>
        <w:pStyle w:val="ListNumber"/>
        <w:numPr>
          <w:ilvl w:val="0"/>
          <w:numId w:val="0"/>
        </w:numPr>
        <w:rPr>
          <w:sz w:val="18"/>
          <w:szCs w:val="18"/>
        </w:rPr>
      </w:pPr>
    </w:p>
    <w:p w14:paraId="18BD5BE5" w14:textId="337B30E4" w:rsidR="00A6575C" w:rsidRDefault="00A6575C" w:rsidP="0037412E">
      <w:pPr>
        <w:pStyle w:val="ListNumber"/>
        <w:numPr>
          <w:ilvl w:val="0"/>
          <w:numId w:val="0"/>
        </w:numPr>
        <w:rPr>
          <w:sz w:val="18"/>
          <w:szCs w:val="18"/>
        </w:rPr>
      </w:pPr>
    </w:p>
    <w:p w14:paraId="180F665C" w14:textId="21D68E7F" w:rsidR="00A6575C" w:rsidRDefault="00A6575C" w:rsidP="0037412E">
      <w:pPr>
        <w:pStyle w:val="ListNumber"/>
        <w:numPr>
          <w:ilvl w:val="0"/>
          <w:numId w:val="0"/>
        </w:numPr>
        <w:rPr>
          <w:sz w:val="18"/>
          <w:szCs w:val="18"/>
        </w:rPr>
      </w:pPr>
    </w:p>
    <w:p w14:paraId="3F256505" w14:textId="18A14437" w:rsidR="00A6575C" w:rsidRDefault="00A6575C" w:rsidP="0037412E">
      <w:pPr>
        <w:pStyle w:val="ListNumber"/>
        <w:numPr>
          <w:ilvl w:val="0"/>
          <w:numId w:val="0"/>
        </w:numPr>
        <w:rPr>
          <w:sz w:val="18"/>
          <w:szCs w:val="18"/>
        </w:rPr>
      </w:pPr>
    </w:p>
    <w:p w14:paraId="7DC2ABD2" w14:textId="3046A02F" w:rsidR="00A6575C" w:rsidRDefault="00A6575C" w:rsidP="0037412E">
      <w:pPr>
        <w:pStyle w:val="ListNumber"/>
        <w:numPr>
          <w:ilvl w:val="0"/>
          <w:numId w:val="0"/>
        </w:numPr>
        <w:rPr>
          <w:sz w:val="18"/>
          <w:szCs w:val="18"/>
        </w:rPr>
      </w:pPr>
    </w:p>
    <w:p w14:paraId="207BFF85" w14:textId="50065FFE" w:rsidR="00A6575C" w:rsidRDefault="00A6575C" w:rsidP="0037412E">
      <w:pPr>
        <w:pStyle w:val="ListNumber"/>
        <w:numPr>
          <w:ilvl w:val="0"/>
          <w:numId w:val="0"/>
        </w:numPr>
        <w:rPr>
          <w:sz w:val="18"/>
          <w:szCs w:val="18"/>
        </w:rPr>
      </w:pPr>
    </w:p>
    <w:p w14:paraId="1F9D627A" w14:textId="73D79592" w:rsidR="00A6575C" w:rsidRDefault="00A6575C" w:rsidP="0037412E">
      <w:pPr>
        <w:pStyle w:val="ListNumber"/>
        <w:numPr>
          <w:ilvl w:val="0"/>
          <w:numId w:val="0"/>
        </w:numPr>
        <w:rPr>
          <w:sz w:val="18"/>
          <w:szCs w:val="18"/>
        </w:rPr>
      </w:pPr>
    </w:p>
    <w:p w14:paraId="3091E52C" w14:textId="68118872" w:rsidR="00A6575C" w:rsidRDefault="00A6575C" w:rsidP="0037412E">
      <w:pPr>
        <w:pStyle w:val="ListNumber"/>
        <w:numPr>
          <w:ilvl w:val="0"/>
          <w:numId w:val="0"/>
        </w:numPr>
        <w:rPr>
          <w:sz w:val="18"/>
          <w:szCs w:val="18"/>
        </w:rPr>
      </w:pPr>
    </w:p>
    <w:p w14:paraId="03AC77DA" w14:textId="0A7E9208" w:rsidR="00A6575C" w:rsidRDefault="00A6575C" w:rsidP="0037412E">
      <w:pPr>
        <w:pStyle w:val="ListNumber"/>
        <w:numPr>
          <w:ilvl w:val="0"/>
          <w:numId w:val="0"/>
        </w:numPr>
        <w:rPr>
          <w:sz w:val="18"/>
          <w:szCs w:val="18"/>
        </w:rPr>
      </w:pPr>
    </w:p>
    <w:p w14:paraId="34B4FA59" w14:textId="1DF50013" w:rsidR="00A6575C" w:rsidRDefault="00A6575C" w:rsidP="0037412E">
      <w:pPr>
        <w:pStyle w:val="ListNumber"/>
        <w:numPr>
          <w:ilvl w:val="0"/>
          <w:numId w:val="0"/>
        </w:numPr>
        <w:rPr>
          <w:sz w:val="18"/>
          <w:szCs w:val="18"/>
        </w:rPr>
      </w:pPr>
    </w:p>
    <w:p w14:paraId="5B10A747" w14:textId="28EE287C" w:rsidR="00A6575C" w:rsidRDefault="00A6575C" w:rsidP="0037412E">
      <w:pPr>
        <w:pStyle w:val="ListNumber"/>
        <w:numPr>
          <w:ilvl w:val="0"/>
          <w:numId w:val="0"/>
        </w:numPr>
        <w:rPr>
          <w:sz w:val="18"/>
          <w:szCs w:val="18"/>
        </w:rPr>
      </w:pPr>
    </w:p>
    <w:p w14:paraId="5393E0C8" w14:textId="6B233A49" w:rsidR="00A6575C" w:rsidRDefault="00A6575C" w:rsidP="0037412E">
      <w:pPr>
        <w:pStyle w:val="ListNumber"/>
        <w:numPr>
          <w:ilvl w:val="0"/>
          <w:numId w:val="0"/>
        </w:numPr>
        <w:rPr>
          <w:sz w:val="18"/>
          <w:szCs w:val="18"/>
        </w:rPr>
      </w:pPr>
    </w:p>
    <w:p w14:paraId="417FF65C" w14:textId="651AFA5E" w:rsidR="00A6575C" w:rsidRDefault="00A6575C" w:rsidP="0037412E">
      <w:pPr>
        <w:pStyle w:val="ListNumber"/>
        <w:numPr>
          <w:ilvl w:val="0"/>
          <w:numId w:val="0"/>
        </w:numPr>
        <w:rPr>
          <w:sz w:val="18"/>
          <w:szCs w:val="18"/>
        </w:rPr>
      </w:pPr>
    </w:p>
    <w:p w14:paraId="5703C4E9" w14:textId="46A5F38A" w:rsidR="00A6575C" w:rsidRDefault="00A6575C" w:rsidP="0037412E">
      <w:pPr>
        <w:pStyle w:val="ListNumber"/>
        <w:numPr>
          <w:ilvl w:val="0"/>
          <w:numId w:val="0"/>
        </w:numPr>
        <w:rPr>
          <w:sz w:val="18"/>
          <w:szCs w:val="18"/>
        </w:rPr>
      </w:pPr>
    </w:p>
    <w:p w14:paraId="677CC741" w14:textId="38F4E573" w:rsidR="00A6575C" w:rsidRDefault="00A6575C" w:rsidP="0037412E">
      <w:pPr>
        <w:pStyle w:val="ListNumber"/>
        <w:numPr>
          <w:ilvl w:val="0"/>
          <w:numId w:val="0"/>
        </w:numPr>
        <w:rPr>
          <w:sz w:val="18"/>
          <w:szCs w:val="18"/>
        </w:rPr>
      </w:pPr>
    </w:p>
    <w:p w14:paraId="4BF3013E" w14:textId="77777777" w:rsidR="00A6575C" w:rsidRPr="00A6575C" w:rsidRDefault="00A6575C" w:rsidP="0037412E">
      <w:pPr>
        <w:pStyle w:val="ListNumber"/>
        <w:numPr>
          <w:ilvl w:val="0"/>
          <w:numId w:val="0"/>
        </w:numPr>
        <w:rPr>
          <w:sz w:val="18"/>
          <w:szCs w:val="18"/>
        </w:rPr>
      </w:pPr>
    </w:p>
    <w:p w14:paraId="1DC59417" w14:textId="1DC04A1D" w:rsidR="00C74404" w:rsidRPr="00A6575C" w:rsidRDefault="00ED12C5" w:rsidP="00A131C9">
      <w:pPr>
        <w:pStyle w:val="ListNumber"/>
        <w:numPr>
          <w:ilvl w:val="0"/>
          <w:numId w:val="0"/>
        </w:numPr>
        <w:ind w:left="360" w:hanging="360"/>
        <w:rPr>
          <w:sz w:val="18"/>
          <w:szCs w:val="18"/>
        </w:rPr>
      </w:pPr>
      <w:r w:rsidRPr="00ED12C5">
        <w:rPr>
          <w:bCs/>
        </w:rPr>
        <w:t>22.</w:t>
      </w:r>
      <w:r>
        <w:tab/>
      </w:r>
      <w:r w:rsidR="0017512E" w:rsidRPr="0017512E">
        <w:t>b</w:t>
      </w:r>
      <w:r>
        <w:t>.</w:t>
      </w:r>
      <w:r w:rsidR="0017512E" w:rsidRPr="0017512E">
        <w:t xml:space="preserve"> Movements in reserves (prior year)</w:t>
      </w:r>
    </w:p>
    <w:p w14:paraId="35BBFB22" w14:textId="18D50C20" w:rsidR="00C74404" w:rsidRPr="00A6575C" w:rsidRDefault="00C74404" w:rsidP="00C87723">
      <w:pPr>
        <w:pStyle w:val="TableParagraph"/>
        <w:rPr>
          <w:b/>
          <w:bCs/>
          <w:szCs w:val="18"/>
        </w:rPr>
      </w:pPr>
    </w:p>
    <w:tbl>
      <w:tblPr>
        <w:tblStyle w:val="PlainTable4"/>
        <w:tblW w:w="9020" w:type="dxa"/>
        <w:tblLook w:val="04A0" w:firstRow="1" w:lastRow="0" w:firstColumn="1" w:lastColumn="0" w:noHBand="0" w:noVBand="1"/>
      </w:tblPr>
      <w:tblGrid>
        <w:gridCol w:w="3552"/>
        <w:gridCol w:w="1023"/>
        <w:gridCol w:w="1023"/>
        <w:gridCol w:w="1143"/>
        <w:gridCol w:w="1132"/>
        <w:gridCol w:w="1147"/>
      </w:tblGrid>
      <w:tr w:rsidR="00A6575C" w:rsidRPr="00A6575C" w14:paraId="51DB8026" w14:textId="77777777" w:rsidTr="00A6575C">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3552" w:type="dxa"/>
            <w:hideMark/>
          </w:tcPr>
          <w:p w14:paraId="54A9A4D3" w14:textId="77777777" w:rsidR="0037412E" w:rsidRPr="00ED12C5" w:rsidRDefault="0037412E" w:rsidP="00EB3246">
            <w:pPr>
              <w:widowControl/>
              <w:autoSpaceDE/>
              <w:autoSpaceDN/>
              <w:rPr>
                <w:rFonts w:eastAsia="Times New Roman" w:cs="Times New Roman"/>
                <w:sz w:val="18"/>
                <w:szCs w:val="18"/>
                <w:lang w:eastAsia="en-GB"/>
              </w:rPr>
            </w:pPr>
          </w:p>
        </w:tc>
        <w:tc>
          <w:tcPr>
            <w:tcW w:w="1023" w:type="dxa"/>
            <w:hideMark/>
          </w:tcPr>
          <w:p w14:paraId="0B25206D" w14:textId="77777777" w:rsidR="0037412E" w:rsidRPr="00A6575C"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proofErr w:type="gramStart"/>
            <w:r w:rsidRPr="00ED12C5">
              <w:rPr>
                <w:rFonts w:eastAsia="Times New Roman" w:cs="Calibri"/>
                <w:b w:val="0"/>
                <w:bCs w:val="0"/>
                <w:sz w:val="18"/>
                <w:szCs w:val="18"/>
                <w:lang w:eastAsia="en-GB"/>
              </w:rPr>
              <w:t>At</w:t>
            </w:r>
            <w:proofErr w:type="gramEnd"/>
            <w:r w:rsidRPr="00ED12C5">
              <w:rPr>
                <w:rFonts w:eastAsia="Times New Roman" w:cs="Calibri"/>
                <w:b w:val="0"/>
                <w:bCs w:val="0"/>
                <w:sz w:val="18"/>
                <w:szCs w:val="18"/>
                <w:lang w:eastAsia="en-GB"/>
              </w:rPr>
              <w:t xml:space="preserve"> 1 April 2020</w:t>
            </w:r>
          </w:p>
          <w:p w14:paraId="2A59AD0C" w14:textId="77777777" w:rsidR="0037412E" w:rsidRPr="00ED12C5"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A6575C">
              <w:rPr>
                <w:rFonts w:eastAsia="Times New Roman" w:cs="Calibri"/>
                <w:b w:val="0"/>
                <w:bCs w:val="0"/>
                <w:sz w:val="18"/>
                <w:szCs w:val="18"/>
                <w:lang w:eastAsia="en-GB"/>
              </w:rPr>
              <w:t>£</w:t>
            </w:r>
          </w:p>
        </w:tc>
        <w:tc>
          <w:tcPr>
            <w:tcW w:w="1023" w:type="dxa"/>
            <w:hideMark/>
          </w:tcPr>
          <w:p w14:paraId="4D5068B8" w14:textId="77777777" w:rsidR="0037412E" w:rsidRPr="00A6575C"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ED12C5">
              <w:rPr>
                <w:rFonts w:eastAsia="Times New Roman" w:cs="Calibri"/>
                <w:b w:val="0"/>
                <w:bCs w:val="0"/>
                <w:sz w:val="18"/>
                <w:szCs w:val="18"/>
                <w:lang w:eastAsia="en-GB"/>
              </w:rPr>
              <w:t>Income &amp; gains</w:t>
            </w:r>
          </w:p>
          <w:p w14:paraId="20CE4000" w14:textId="77777777" w:rsidR="0037412E" w:rsidRPr="00ED12C5"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A6575C">
              <w:rPr>
                <w:rFonts w:eastAsia="Times New Roman" w:cs="Calibri"/>
                <w:b w:val="0"/>
                <w:bCs w:val="0"/>
                <w:sz w:val="18"/>
                <w:szCs w:val="18"/>
                <w:lang w:eastAsia="en-GB"/>
              </w:rPr>
              <w:t>£</w:t>
            </w:r>
          </w:p>
        </w:tc>
        <w:tc>
          <w:tcPr>
            <w:tcW w:w="1143" w:type="dxa"/>
            <w:hideMark/>
          </w:tcPr>
          <w:p w14:paraId="2379FBB8" w14:textId="77777777" w:rsidR="0037412E" w:rsidRPr="00A6575C"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ED12C5">
              <w:rPr>
                <w:rFonts w:eastAsia="Times New Roman" w:cs="Calibri"/>
                <w:b w:val="0"/>
                <w:bCs w:val="0"/>
                <w:sz w:val="18"/>
                <w:szCs w:val="18"/>
                <w:lang w:eastAsia="en-GB"/>
              </w:rPr>
              <w:t>Expenditure &amp; losses</w:t>
            </w:r>
          </w:p>
          <w:p w14:paraId="19BA92C5" w14:textId="77777777" w:rsidR="0037412E" w:rsidRPr="00ED12C5"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A6575C">
              <w:rPr>
                <w:rFonts w:eastAsia="Times New Roman" w:cs="Calibri"/>
                <w:b w:val="0"/>
                <w:bCs w:val="0"/>
                <w:sz w:val="18"/>
                <w:szCs w:val="18"/>
                <w:lang w:eastAsia="en-GB"/>
              </w:rPr>
              <w:t>£</w:t>
            </w:r>
          </w:p>
        </w:tc>
        <w:tc>
          <w:tcPr>
            <w:tcW w:w="1132" w:type="dxa"/>
            <w:hideMark/>
          </w:tcPr>
          <w:p w14:paraId="259D49A3" w14:textId="77777777" w:rsidR="0037412E" w:rsidRPr="00A6575C"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ED12C5">
              <w:rPr>
                <w:rFonts w:eastAsia="Times New Roman" w:cs="Calibri"/>
                <w:b w:val="0"/>
                <w:bCs w:val="0"/>
                <w:sz w:val="18"/>
                <w:szCs w:val="18"/>
                <w:lang w:eastAsia="en-GB"/>
              </w:rPr>
              <w:t>Transfers</w:t>
            </w:r>
          </w:p>
          <w:p w14:paraId="1E1EC34A" w14:textId="77777777" w:rsidR="0037412E" w:rsidRPr="00ED12C5"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b w:val="0"/>
                <w:bCs w:val="0"/>
                <w:sz w:val="18"/>
                <w:szCs w:val="18"/>
                <w:lang w:eastAsia="en-GB"/>
              </w:rPr>
            </w:pPr>
            <w:r w:rsidRPr="00A6575C">
              <w:rPr>
                <w:rFonts w:eastAsia="Times New Roman" w:cs="Calibri"/>
                <w:b w:val="0"/>
                <w:bCs w:val="0"/>
                <w:sz w:val="18"/>
                <w:szCs w:val="18"/>
                <w:lang w:eastAsia="en-GB"/>
              </w:rPr>
              <w:t>£</w:t>
            </w:r>
          </w:p>
        </w:tc>
        <w:tc>
          <w:tcPr>
            <w:tcW w:w="1147" w:type="dxa"/>
            <w:hideMark/>
          </w:tcPr>
          <w:p w14:paraId="1D36B5E4" w14:textId="77777777" w:rsidR="0037412E" w:rsidRPr="00A6575C"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proofErr w:type="gramStart"/>
            <w:r w:rsidRPr="00ED12C5">
              <w:rPr>
                <w:rFonts w:eastAsia="Times New Roman" w:cs="Calibri"/>
                <w:sz w:val="18"/>
                <w:szCs w:val="18"/>
                <w:lang w:eastAsia="en-GB"/>
              </w:rPr>
              <w:t>At</w:t>
            </w:r>
            <w:proofErr w:type="gramEnd"/>
            <w:r w:rsidRPr="00ED12C5">
              <w:rPr>
                <w:rFonts w:eastAsia="Times New Roman" w:cs="Calibri"/>
                <w:sz w:val="18"/>
                <w:szCs w:val="18"/>
                <w:lang w:eastAsia="en-GB"/>
              </w:rPr>
              <w:t xml:space="preserve"> 31 March</w:t>
            </w:r>
            <w:r w:rsidRPr="00A6575C">
              <w:rPr>
                <w:rFonts w:eastAsia="Times New Roman" w:cs="Calibri"/>
                <w:sz w:val="18"/>
                <w:szCs w:val="18"/>
                <w:lang w:eastAsia="en-GB"/>
              </w:rPr>
              <w:t xml:space="preserve"> </w:t>
            </w:r>
            <w:r w:rsidRPr="00ED12C5">
              <w:rPr>
                <w:rFonts w:eastAsia="Times New Roman" w:cs="Calibri"/>
                <w:sz w:val="18"/>
                <w:szCs w:val="18"/>
                <w:lang w:eastAsia="en-GB"/>
              </w:rPr>
              <w:t>2021</w:t>
            </w:r>
          </w:p>
          <w:p w14:paraId="56ECB4A8" w14:textId="77777777" w:rsidR="0037412E" w:rsidRPr="00ED12C5" w:rsidRDefault="0037412E" w:rsidP="00EB3246">
            <w:pPr>
              <w:widowControl/>
              <w:autoSpaceDE/>
              <w:autoSpaceDN/>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r>
      <w:tr w:rsidR="00A6575C" w:rsidRPr="00A6575C" w14:paraId="396F703B" w14:textId="77777777" w:rsidTr="00A65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6CD019F4" w14:textId="77777777" w:rsidR="0037412E" w:rsidRPr="00ED12C5" w:rsidRDefault="0037412E" w:rsidP="00EB3246">
            <w:pPr>
              <w:widowControl/>
              <w:autoSpaceDE/>
              <w:autoSpaceDN/>
              <w:rPr>
                <w:rFonts w:eastAsia="Times New Roman" w:cs="Calibri"/>
                <w:sz w:val="18"/>
                <w:szCs w:val="18"/>
                <w:lang w:eastAsia="en-GB"/>
              </w:rPr>
            </w:pPr>
            <w:r w:rsidRPr="00ED12C5">
              <w:rPr>
                <w:rFonts w:eastAsia="Times New Roman" w:cs="Calibri"/>
                <w:sz w:val="18"/>
                <w:szCs w:val="18"/>
                <w:lang w:eastAsia="en-GB"/>
              </w:rPr>
              <w:t>Restricted funds:</w:t>
            </w:r>
          </w:p>
        </w:tc>
        <w:tc>
          <w:tcPr>
            <w:tcW w:w="1023" w:type="dxa"/>
            <w:vAlign w:val="center"/>
            <w:hideMark/>
          </w:tcPr>
          <w:p w14:paraId="068091EA"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23" w:type="dxa"/>
            <w:vAlign w:val="center"/>
            <w:hideMark/>
          </w:tcPr>
          <w:p w14:paraId="0D6A839F"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43" w:type="dxa"/>
            <w:vAlign w:val="center"/>
            <w:hideMark/>
          </w:tcPr>
          <w:p w14:paraId="4A48146C"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32" w:type="dxa"/>
            <w:vAlign w:val="center"/>
            <w:hideMark/>
          </w:tcPr>
          <w:p w14:paraId="4A444CC6"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47" w:type="dxa"/>
            <w:vAlign w:val="center"/>
            <w:hideMark/>
          </w:tcPr>
          <w:p w14:paraId="39422418"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n-GB"/>
              </w:rPr>
            </w:pPr>
          </w:p>
        </w:tc>
      </w:tr>
      <w:tr w:rsidR="00A6575C" w:rsidRPr="00A6575C" w14:paraId="3D613B73" w14:textId="77777777" w:rsidTr="00A6575C">
        <w:trPr>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0331542A" w14:textId="1F987F63" w:rsidR="0037412E" w:rsidRPr="00ED12C5" w:rsidRDefault="0037412E" w:rsidP="0037412E">
            <w:pPr>
              <w:widowControl/>
              <w:autoSpaceDE/>
              <w:autoSpaceDN/>
              <w:rPr>
                <w:rFonts w:eastAsia="Times New Roman" w:cs="Calibri"/>
                <w:b w:val="0"/>
                <w:bCs w:val="0"/>
                <w:sz w:val="18"/>
                <w:szCs w:val="18"/>
                <w:lang w:eastAsia="en-GB"/>
              </w:rPr>
            </w:pPr>
            <w:r w:rsidRPr="00A6575C">
              <w:rPr>
                <w:rFonts w:cs="Calibri"/>
                <w:b w:val="0"/>
                <w:bCs w:val="0"/>
                <w:sz w:val="18"/>
                <w:szCs w:val="18"/>
              </w:rPr>
              <w:t>Kingston Assoc for the Blind</w:t>
            </w:r>
          </w:p>
        </w:tc>
        <w:tc>
          <w:tcPr>
            <w:tcW w:w="1023" w:type="dxa"/>
            <w:noWrap/>
            <w:vAlign w:val="center"/>
            <w:hideMark/>
          </w:tcPr>
          <w:p w14:paraId="167682BD" w14:textId="77777777"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7,130</w:t>
            </w:r>
          </w:p>
        </w:tc>
        <w:tc>
          <w:tcPr>
            <w:tcW w:w="1023" w:type="dxa"/>
            <w:noWrap/>
            <w:vAlign w:val="bottom"/>
            <w:hideMark/>
          </w:tcPr>
          <w:p w14:paraId="5B8237F8" w14:textId="604EC18B"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6,825</w:t>
            </w:r>
          </w:p>
        </w:tc>
        <w:tc>
          <w:tcPr>
            <w:tcW w:w="1143" w:type="dxa"/>
            <w:noWrap/>
            <w:vAlign w:val="bottom"/>
            <w:hideMark/>
          </w:tcPr>
          <w:p w14:paraId="2DAA157D" w14:textId="5395797C"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(6,825)</w:t>
            </w:r>
          </w:p>
        </w:tc>
        <w:tc>
          <w:tcPr>
            <w:tcW w:w="1132" w:type="dxa"/>
            <w:noWrap/>
            <w:vAlign w:val="center"/>
            <w:hideMark/>
          </w:tcPr>
          <w:p w14:paraId="71072191" w14:textId="77777777"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7" w:type="dxa"/>
            <w:noWrap/>
            <w:vAlign w:val="bottom"/>
            <w:hideMark/>
          </w:tcPr>
          <w:p w14:paraId="399FAA9E" w14:textId="46C8E568"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w:t>
            </w:r>
          </w:p>
        </w:tc>
      </w:tr>
      <w:tr w:rsidR="00A6575C" w:rsidRPr="00A6575C" w14:paraId="58C0B88F" w14:textId="77777777" w:rsidTr="00A65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563292A0" w14:textId="2F8EA140" w:rsidR="0037412E" w:rsidRPr="00ED12C5" w:rsidRDefault="0037412E" w:rsidP="0037412E">
            <w:pPr>
              <w:widowControl/>
              <w:autoSpaceDE/>
              <w:autoSpaceDN/>
              <w:rPr>
                <w:rFonts w:eastAsia="Times New Roman" w:cs="Calibri"/>
                <w:b w:val="0"/>
                <w:bCs w:val="0"/>
                <w:sz w:val="18"/>
                <w:szCs w:val="18"/>
                <w:lang w:eastAsia="en-GB"/>
              </w:rPr>
            </w:pPr>
            <w:r w:rsidRPr="00A6575C">
              <w:rPr>
                <w:rFonts w:cs="Calibri"/>
                <w:b w:val="0"/>
                <w:bCs w:val="0"/>
                <w:sz w:val="18"/>
                <w:szCs w:val="18"/>
              </w:rPr>
              <w:t>Mousetrap Theatre Projects</w:t>
            </w:r>
          </w:p>
        </w:tc>
        <w:tc>
          <w:tcPr>
            <w:tcW w:w="1023" w:type="dxa"/>
            <w:noWrap/>
            <w:vAlign w:val="center"/>
            <w:hideMark/>
          </w:tcPr>
          <w:p w14:paraId="6D2FFAE2" w14:textId="77777777"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023" w:type="dxa"/>
            <w:noWrap/>
            <w:vAlign w:val="bottom"/>
            <w:hideMark/>
          </w:tcPr>
          <w:p w14:paraId="64B8AC7B" w14:textId="3BBB0308"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1,300</w:t>
            </w:r>
          </w:p>
        </w:tc>
        <w:tc>
          <w:tcPr>
            <w:tcW w:w="1143" w:type="dxa"/>
            <w:noWrap/>
            <w:vAlign w:val="bottom"/>
            <w:hideMark/>
          </w:tcPr>
          <w:p w14:paraId="1BBDD89B" w14:textId="618D9960"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(1,300)</w:t>
            </w:r>
          </w:p>
        </w:tc>
        <w:tc>
          <w:tcPr>
            <w:tcW w:w="1132" w:type="dxa"/>
            <w:noWrap/>
            <w:vAlign w:val="center"/>
            <w:hideMark/>
          </w:tcPr>
          <w:p w14:paraId="5D2B77B1" w14:textId="77777777"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7" w:type="dxa"/>
            <w:noWrap/>
            <w:vAlign w:val="bottom"/>
            <w:hideMark/>
          </w:tcPr>
          <w:p w14:paraId="679BA2C8" w14:textId="6E43D3F9"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w:t>
            </w:r>
          </w:p>
        </w:tc>
      </w:tr>
      <w:tr w:rsidR="00A6575C" w:rsidRPr="00A6575C" w14:paraId="6F99D40D" w14:textId="77777777" w:rsidTr="00A6575C">
        <w:trPr>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747520FC" w14:textId="0863EAB7" w:rsidR="0037412E" w:rsidRPr="00ED12C5" w:rsidRDefault="0037412E" w:rsidP="0037412E">
            <w:pPr>
              <w:widowControl/>
              <w:autoSpaceDE/>
              <w:autoSpaceDN/>
              <w:rPr>
                <w:rFonts w:eastAsia="Times New Roman" w:cs="Calibri"/>
                <w:b w:val="0"/>
                <w:bCs w:val="0"/>
                <w:sz w:val="18"/>
                <w:szCs w:val="18"/>
                <w:lang w:eastAsia="en-GB"/>
              </w:rPr>
            </w:pPr>
            <w:r w:rsidRPr="00A6575C">
              <w:rPr>
                <w:rFonts w:cs="Calibri"/>
                <w:b w:val="0"/>
                <w:bCs w:val="0"/>
                <w:sz w:val="18"/>
                <w:szCs w:val="18"/>
              </w:rPr>
              <w:t>Centenary Appeal</w:t>
            </w:r>
          </w:p>
        </w:tc>
        <w:tc>
          <w:tcPr>
            <w:tcW w:w="1023" w:type="dxa"/>
            <w:noWrap/>
            <w:vAlign w:val="center"/>
            <w:hideMark/>
          </w:tcPr>
          <w:p w14:paraId="4C7F57FC" w14:textId="77777777"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023" w:type="dxa"/>
            <w:noWrap/>
            <w:vAlign w:val="bottom"/>
            <w:hideMark/>
          </w:tcPr>
          <w:p w14:paraId="4C5F42E0" w14:textId="358BD0ED"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7,130</w:t>
            </w:r>
          </w:p>
        </w:tc>
        <w:tc>
          <w:tcPr>
            <w:tcW w:w="1143" w:type="dxa"/>
            <w:noWrap/>
            <w:vAlign w:val="bottom"/>
            <w:hideMark/>
          </w:tcPr>
          <w:p w14:paraId="7D956D87" w14:textId="4A86EF17"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w:t>
            </w:r>
          </w:p>
        </w:tc>
        <w:tc>
          <w:tcPr>
            <w:tcW w:w="1132" w:type="dxa"/>
            <w:noWrap/>
            <w:vAlign w:val="center"/>
            <w:hideMark/>
          </w:tcPr>
          <w:p w14:paraId="6897D24C" w14:textId="77777777"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7" w:type="dxa"/>
            <w:noWrap/>
            <w:vAlign w:val="bottom"/>
            <w:hideMark/>
          </w:tcPr>
          <w:p w14:paraId="236B89FF" w14:textId="0460E215"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7,130</w:t>
            </w:r>
          </w:p>
        </w:tc>
      </w:tr>
      <w:tr w:rsidR="00A6575C" w:rsidRPr="00A6575C" w14:paraId="1D89692D" w14:textId="77777777" w:rsidTr="00A65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7B68DD72" w14:textId="5CB06FE4" w:rsidR="0037412E" w:rsidRPr="00ED12C5" w:rsidRDefault="0037412E" w:rsidP="0037412E">
            <w:pPr>
              <w:widowControl/>
              <w:autoSpaceDE/>
              <w:autoSpaceDN/>
              <w:rPr>
                <w:rFonts w:eastAsia="Times New Roman" w:cs="Calibri"/>
                <w:b w:val="0"/>
                <w:bCs w:val="0"/>
                <w:sz w:val="18"/>
                <w:szCs w:val="18"/>
                <w:lang w:eastAsia="en-GB"/>
              </w:rPr>
            </w:pPr>
            <w:r w:rsidRPr="00A6575C">
              <w:rPr>
                <w:rFonts w:cs="Calibri"/>
                <w:b w:val="0"/>
                <w:bCs w:val="0"/>
                <w:sz w:val="18"/>
                <w:szCs w:val="18"/>
              </w:rPr>
              <w:t>Blind in Business</w:t>
            </w:r>
          </w:p>
        </w:tc>
        <w:tc>
          <w:tcPr>
            <w:tcW w:w="1023" w:type="dxa"/>
            <w:noWrap/>
            <w:vAlign w:val="center"/>
            <w:hideMark/>
          </w:tcPr>
          <w:p w14:paraId="01045FD2" w14:textId="77777777"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023" w:type="dxa"/>
            <w:noWrap/>
            <w:vAlign w:val="bottom"/>
            <w:hideMark/>
          </w:tcPr>
          <w:p w14:paraId="1FDCA314" w14:textId="1C852642"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10,000</w:t>
            </w:r>
          </w:p>
        </w:tc>
        <w:tc>
          <w:tcPr>
            <w:tcW w:w="1143" w:type="dxa"/>
            <w:noWrap/>
            <w:vAlign w:val="bottom"/>
            <w:hideMark/>
          </w:tcPr>
          <w:p w14:paraId="6E68FB0C" w14:textId="4CD2482D"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(10,000)</w:t>
            </w:r>
          </w:p>
        </w:tc>
        <w:tc>
          <w:tcPr>
            <w:tcW w:w="1132" w:type="dxa"/>
            <w:noWrap/>
            <w:vAlign w:val="center"/>
            <w:hideMark/>
          </w:tcPr>
          <w:p w14:paraId="4C73FD52" w14:textId="506F1F20"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r w:rsidRPr="00A6575C">
              <w:rPr>
                <w:rFonts w:eastAsia="Times New Roman" w:cs="Times New Roman"/>
                <w:sz w:val="18"/>
                <w:szCs w:val="18"/>
                <w:lang w:eastAsia="en-GB"/>
              </w:rPr>
              <w:t>-</w:t>
            </w:r>
          </w:p>
        </w:tc>
        <w:tc>
          <w:tcPr>
            <w:tcW w:w="1147" w:type="dxa"/>
            <w:noWrap/>
            <w:vAlign w:val="bottom"/>
            <w:hideMark/>
          </w:tcPr>
          <w:p w14:paraId="18CA220F" w14:textId="6055B492"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w:t>
            </w:r>
          </w:p>
        </w:tc>
      </w:tr>
      <w:tr w:rsidR="00A6575C" w:rsidRPr="00A6575C" w14:paraId="1A8647DC" w14:textId="77777777" w:rsidTr="00A6575C">
        <w:trPr>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3B94A104" w14:textId="520A6D3D" w:rsidR="0037412E" w:rsidRPr="00ED12C5" w:rsidRDefault="0037412E" w:rsidP="0037412E">
            <w:pPr>
              <w:widowControl/>
              <w:autoSpaceDE/>
              <w:autoSpaceDN/>
              <w:rPr>
                <w:rFonts w:eastAsia="Times New Roman" w:cs="Calibri"/>
                <w:b w:val="0"/>
                <w:bCs w:val="0"/>
                <w:sz w:val="18"/>
                <w:szCs w:val="18"/>
                <w:lang w:eastAsia="en-GB"/>
              </w:rPr>
            </w:pPr>
            <w:r w:rsidRPr="00A6575C">
              <w:rPr>
                <w:rFonts w:cs="Calibri"/>
                <w:b w:val="0"/>
                <w:bCs w:val="0"/>
                <w:sz w:val="18"/>
                <w:szCs w:val="18"/>
              </w:rPr>
              <w:t>HQ Refurbishment</w:t>
            </w:r>
          </w:p>
        </w:tc>
        <w:tc>
          <w:tcPr>
            <w:tcW w:w="1023" w:type="dxa"/>
            <w:noWrap/>
            <w:vAlign w:val="center"/>
            <w:hideMark/>
          </w:tcPr>
          <w:p w14:paraId="4FF1DCBC" w14:textId="77777777"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023" w:type="dxa"/>
            <w:noWrap/>
            <w:vAlign w:val="bottom"/>
            <w:hideMark/>
          </w:tcPr>
          <w:p w14:paraId="0CAE00AD" w14:textId="5C04BA64"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5,000</w:t>
            </w:r>
          </w:p>
        </w:tc>
        <w:tc>
          <w:tcPr>
            <w:tcW w:w="1143" w:type="dxa"/>
            <w:noWrap/>
            <w:vAlign w:val="bottom"/>
            <w:hideMark/>
          </w:tcPr>
          <w:p w14:paraId="0A5CA14D" w14:textId="205E361F"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(5,000)</w:t>
            </w:r>
          </w:p>
        </w:tc>
        <w:tc>
          <w:tcPr>
            <w:tcW w:w="1132" w:type="dxa"/>
            <w:noWrap/>
            <w:vAlign w:val="center"/>
            <w:hideMark/>
          </w:tcPr>
          <w:p w14:paraId="1EA4C025" w14:textId="5209FE7E"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r w:rsidRPr="00A6575C">
              <w:rPr>
                <w:rFonts w:eastAsia="Times New Roman" w:cs="Times New Roman"/>
                <w:sz w:val="18"/>
                <w:szCs w:val="18"/>
                <w:lang w:eastAsia="en-GB"/>
              </w:rPr>
              <w:t>-</w:t>
            </w:r>
          </w:p>
        </w:tc>
        <w:tc>
          <w:tcPr>
            <w:tcW w:w="1147" w:type="dxa"/>
            <w:noWrap/>
            <w:vAlign w:val="bottom"/>
            <w:hideMark/>
          </w:tcPr>
          <w:p w14:paraId="316C159F" w14:textId="580B9C11" w:rsidR="0037412E" w:rsidRPr="00ED12C5" w:rsidRDefault="0037412E" w:rsidP="0037412E">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w:t>
            </w:r>
          </w:p>
        </w:tc>
      </w:tr>
      <w:tr w:rsidR="00A6575C" w:rsidRPr="00A6575C" w14:paraId="0CB35AF6" w14:textId="77777777" w:rsidTr="003F35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2C7F8742" w14:textId="2424BB29" w:rsidR="0037412E" w:rsidRPr="00ED12C5" w:rsidRDefault="0037412E" w:rsidP="0037412E">
            <w:pPr>
              <w:widowControl/>
              <w:autoSpaceDE/>
              <w:autoSpaceDN/>
              <w:rPr>
                <w:rFonts w:eastAsia="Times New Roman" w:cs="Calibri"/>
                <w:b w:val="0"/>
                <w:bCs w:val="0"/>
                <w:sz w:val="18"/>
                <w:szCs w:val="18"/>
                <w:lang w:eastAsia="en-GB"/>
              </w:rPr>
            </w:pPr>
            <w:r w:rsidRPr="00A6575C">
              <w:rPr>
                <w:rFonts w:cs="Calibri"/>
                <w:b w:val="0"/>
                <w:bCs w:val="0"/>
                <w:sz w:val="18"/>
                <w:szCs w:val="18"/>
              </w:rPr>
              <w:t>Change Foundation - VI Rugby</w:t>
            </w:r>
          </w:p>
        </w:tc>
        <w:tc>
          <w:tcPr>
            <w:tcW w:w="1023" w:type="dxa"/>
            <w:noWrap/>
            <w:vAlign w:val="center"/>
            <w:hideMark/>
          </w:tcPr>
          <w:p w14:paraId="3374BBA1" w14:textId="77777777"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023" w:type="dxa"/>
            <w:noWrap/>
            <w:vAlign w:val="bottom"/>
            <w:hideMark/>
          </w:tcPr>
          <w:p w14:paraId="204EE25C" w14:textId="1D519960"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5,000</w:t>
            </w:r>
          </w:p>
        </w:tc>
        <w:tc>
          <w:tcPr>
            <w:tcW w:w="1143" w:type="dxa"/>
            <w:noWrap/>
            <w:vAlign w:val="bottom"/>
            <w:hideMark/>
          </w:tcPr>
          <w:p w14:paraId="0D4EB938" w14:textId="49D76EBB"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(5,000)</w:t>
            </w:r>
          </w:p>
        </w:tc>
        <w:tc>
          <w:tcPr>
            <w:tcW w:w="1132" w:type="dxa"/>
            <w:noWrap/>
            <w:vAlign w:val="center"/>
            <w:hideMark/>
          </w:tcPr>
          <w:p w14:paraId="20244BFF" w14:textId="647508E1"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r w:rsidRPr="00A6575C">
              <w:rPr>
                <w:rFonts w:eastAsia="Times New Roman" w:cs="Times New Roman"/>
                <w:sz w:val="18"/>
                <w:szCs w:val="18"/>
                <w:lang w:eastAsia="en-GB"/>
              </w:rPr>
              <w:t>-</w:t>
            </w:r>
          </w:p>
        </w:tc>
        <w:tc>
          <w:tcPr>
            <w:tcW w:w="1147" w:type="dxa"/>
            <w:noWrap/>
            <w:vAlign w:val="center"/>
            <w:hideMark/>
          </w:tcPr>
          <w:p w14:paraId="2B844763" w14:textId="77777777" w:rsidR="0037412E" w:rsidRPr="00ED12C5" w:rsidRDefault="0037412E" w:rsidP="0037412E">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w:t>
            </w:r>
          </w:p>
        </w:tc>
      </w:tr>
      <w:tr w:rsidR="00A6575C" w:rsidRPr="00A6575C" w14:paraId="0F88BDFE" w14:textId="77777777" w:rsidTr="003F3556">
        <w:trPr>
          <w:trHeight w:val="255"/>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57B55978" w14:textId="77777777" w:rsidR="0037412E" w:rsidRPr="00ED12C5" w:rsidRDefault="0037412E" w:rsidP="00EB3246">
            <w:pPr>
              <w:widowControl/>
              <w:autoSpaceDE/>
              <w:autoSpaceDN/>
              <w:rPr>
                <w:rFonts w:eastAsia="Times New Roman" w:cs="Calibri"/>
                <w:b w:val="0"/>
                <w:bCs w:val="0"/>
                <w:sz w:val="18"/>
                <w:szCs w:val="18"/>
                <w:lang w:eastAsia="en-GB"/>
              </w:rPr>
            </w:pPr>
          </w:p>
        </w:tc>
        <w:tc>
          <w:tcPr>
            <w:tcW w:w="1023" w:type="dxa"/>
            <w:tcBorders>
              <w:bottom w:val="single" w:sz="4" w:space="0" w:color="auto"/>
            </w:tcBorders>
            <w:noWrap/>
            <w:vAlign w:val="center"/>
            <w:hideMark/>
          </w:tcPr>
          <w:p w14:paraId="63364315"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023" w:type="dxa"/>
            <w:tcBorders>
              <w:bottom w:val="single" w:sz="4" w:space="0" w:color="auto"/>
            </w:tcBorders>
            <w:noWrap/>
            <w:vAlign w:val="center"/>
            <w:hideMark/>
          </w:tcPr>
          <w:p w14:paraId="33B86B73"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43" w:type="dxa"/>
            <w:tcBorders>
              <w:bottom w:val="single" w:sz="4" w:space="0" w:color="auto"/>
            </w:tcBorders>
            <w:noWrap/>
            <w:vAlign w:val="center"/>
            <w:hideMark/>
          </w:tcPr>
          <w:p w14:paraId="44FEE70E"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32" w:type="dxa"/>
            <w:tcBorders>
              <w:bottom w:val="single" w:sz="4" w:space="0" w:color="auto"/>
            </w:tcBorders>
            <w:noWrap/>
            <w:vAlign w:val="center"/>
            <w:hideMark/>
          </w:tcPr>
          <w:p w14:paraId="01F2DA7B"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47" w:type="dxa"/>
            <w:tcBorders>
              <w:bottom w:val="single" w:sz="4" w:space="0" w:color="auto"/>
            </w:tcBorders>
            <w:noWrap/>
            <w:vAlign w:val="center"/>
            <w:hideMark/>
          </w:tcPr>
          <w:p w14:paraId="5CB464B8"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 </w:t>
            </w:r>
          </w:p>
        </w:tc>
      </w:tr>
      <w:tr w:rsidR="00A6575C" w:rsidRPr="00A6575C" w14:paraId="3DCC1AF3" w14:textId="77777777" w:rsidTr="003F355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52" w:type="dxa"/>
            <w:noWrap/>
            <w:vAlign w:val="center"/>
            <w:hideMark/>
          </w:tcPr>
          <w:p w14:paraId="0BED66E9" w14:textId="77777777" w:rsidR="0037412E" w:rsidRPr="00ED12C5" w:rsidRDefault="0037412E" w:rsidP="00EB3246">
            <w:pPr>
              <w:widowControl/>
              <w:autoSpaceDE/>
              <w:autoSpaceDN/>
              <w:rPr>
                <w:rFonts w:eastAsia="Times New Roman" w:cs="Calibri"/>
                <w:sz w:val="18"/>
                <w:szCs w:val="18"/>
                <w:lang w:eastAsia="en-GB"/>
              </w:rPr>
            </w:pPr>
            <w:r w:rsidRPr="00ED12C5">
              <w:rPr>
                <w:rFonts w:eastAsia="Times New Roman" w:cs="Calibri"/>
                <w:sz w:val="18"/>
                <w:szCs w:val="18"/>
                <w:lang w:eastAsia="en-GB"/>
              </w:rPr>
              <w:t>Total restricted funds</w:t>
            </w:r>
          </w:p>
        </w:tc>
        <w:tc>
          <w:tcPr>
            <w:tcW w:w="1023" w:type="dxa"/>
            <w:tcBorders>
              <w:top w:val="single" w:sz="4" w:space="0" w:color="auto"/>
              <w:bottom w:val="double" w:sz="4" w:space="0" w:color="auto"/>
            </w:tcBorders>
            <w:noWrap/>
            <w:vAlign w:val="center"/>
            <w:hideMark/>
          </w:tcPr>
          <w:p w14:paraId="2D919D83" w14:textId="2896300B"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c>
          <w:tcPr>
            <w:tcW w:w="1023" w:type="dxa"/>
            <w:tcBorders>
              <w:top w:val="single" w:sz="4" w:space="0" w:color="auto"/>
              <w:bottom w:val="double" w:sz="4" w:space="0" w:color="auto"/>
            </w:tcBorders>
            <w:noWrap/>
            <w:vAlign w:val="center"/>
            <w:hideMark/>
          </w:tcPr>
          <w:p w14:paraId="46546C27" w14:textId="600BEAC1" w:rsidR="0037412E" w:rsidRPr="00ED12C5" w:rsidRDefault="00A6575C"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35,255</w:t>
            </w:r>
          </w:p>
        </w:tc>
        <w:tc>
          <w:tcPr>
            <w:tcW w:w="1143" w:type="dxa"/>
            <w:tcBorders>
              <w:top w:val="single" w:sz="4" w:space="0" w:color="auto"/>
              <w:bottom w:val="double" w:sz="4" w:space="0" w:color="auto"/>
            </w:tcBorders>
            <w:noWrap/>
            <w:vAlign w:val="center"/>
            <w:hideMark/>
          </w:tcPr>
          <w:p w14:paraId="2FC5EB89" w14:textId="01198FB5" w:rsidR="0037412E" w:rsidRPr="00ED12C5" w:rsidRDefault="00A6575C"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(28,125)</w:t>
            </w:r>
          </w:p>
        </w:tc>
        <w:tc>
          <w:tcPr>
            <w:tcW w:w="1132" w:type="dxa"/>
            <w:tcBorders>
              <w:top w:val="single" w:sz="4" w:space="0" w:color="auto"/>
              <w:bottom w:val="double" w:sz="4" w:space="0" w:color="auto"/>
            </w:tcBorders>
            <w:noWrap/>
            <w:vAlign w:val="center"/>
            <w:hideMark/>
          </w:tcPr>
          <w:p w14:paraId="56E9B8AA"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7" w:type="dxa"/>
            <w:tcBorders>
              <w:top w:val="single" w:sz="4" w:space="0" w:color="auto"/>
              <w:bottom w:val="double" w:sz="4" w:space="0" w:color="auto"/>
            </w:tcBorders>
            <w:noWrap/>
            <w:vAlign w:val="center"/>
            <w:hideMark/>
          </w:tcPr>
          <w:p w14:paraId="5F5E400D" w14:textId="58253CF7" w:rsidR="0037412E" w:rsidRPr="00ED12C5" w:rsidRDefault="00A6575C"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A6575C">
              <w:rPr>
                <w:rFonts w:eastAsia="Times New Roman" w:cs="Calibri"/>
                <w:b/>
                <w:bCs/>
                <w:sz w:val="18"/>
                <w:szCs w:val="18"/>
                <w:lang w:eastAsia="en-GB"/>
              </w:rPr>
              <w:t>7,130</w:t>
            </w:r>
          </w:p>
        </w:tc>
      </w:tr>
      <w:tr w:rsidR="00A6575C" w:rsidRPr="00A6575C" w14:paraId="07551633" w14:textId="77777777" w:rsidTr="00A6575C">
        <w:trPr>
          <w:trHeight w:val="255"/>
        </w:trPr>
        <w:tc>
          <w:tcPr>
            <w:cnfStyle w:val="001000000000" w:firstRow="0" w:lastRow="0" w:firstColumn="1" w:lastColumn="0" w:oddVBand="0" w:evenVBand="0" w:oddHBand="0" w:evenHBand="0" w:firstRowFirstColumn="0" w:firstRowLastColumn="0" w:lastRowFirstColumn="0" w:lastRowLastColumn="0"/>
            <w:tcW w:w="3552" w:type="dxa"/>
            <w:noWrap/>
            <w:vAlign w:val="center"/>
            <w:hideMark/>
          </w:tcPr>
          <w:p w14:paraId="5A32A927" w14:textId="77777777" w:rsidR="0037412E" w:rsidRPr="00ED12C5" w:rsidRDefault="0037412E" w:rsidP="00EB3246">
            <w:pPr>
              <w:widowControl/>
              <w:autoSpaceDE/>
              <w:autoSpaceDN/>
              <w:rPr>
                <w:rFonts w:eastAsia="Times New Roman" w:cs="Calibri"/>
                <w:sz w:val="18"/>
                <w:szCs w:val="18"/>
                <w:lang w:eastAsia="en-GB"/>
              </w:rPr>
            </w:pPr>
          </w:p>
        </w:tc>
        <w:tc>
          <w:tcPr>
            <w:tcW w:w="1023" w:type="dxa"/>
            <w:tcBorders>
              <w:top w:val="double" w:sz="4" w:space="0" w:color="auto"/>
            </w:tcBorders>
            <w:noWrap/>
            <w:vAlign w:val="center"/>
            <w:hideMark/>
          </w:tcPr>
          <w:p w14:paraId="649024F1"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023" w:type="dxa"/>
            <w:tcBorders>
              <w:top w:val="double" w:sz="4" w:space="0" w:color="auto"/>
            </w:tcBorders>
            <w:noWrap/>
            <w:vAlign w:val="center"/>
            <w:hideMark/>
          </w:tcPr>
          <w:p w14:paraId="08E62159"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43" w:type="dxa"/>
            <w:tcBorders>
              <w:top w:val="double" w:sz="4" w:space="0" w:color="auto"/>
            </w:tcBorders>
            <w:noWrap/>
            <w:vAlign w:val="center"/>
            <w:hideMark/>
          </w:tcPr>
          <w:p w14:paraId="7F9A071B"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32" w:type="dxa"/>
            <w:tcBorders>
              <w:top w:val="double" w:sz="4" w:space="0" w:color="auto"/>
            </w:tcBorders>
            <w:noWrap/>
            <w:vAlign w:val="center"/>
            <w:hideMark/>
          </w:tcPr>
          <w:p w14:paraId="530F845A"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47" w:type="dxa"/>
            <w:tcBorders>
              <w:top w:val="double" w:sz="4" w:space="0" w:color="auto"/>
            </w:tcBorders>
            <w:noWrap/>
            <w:vAlign w:val="center"/>
            <w:hideMark/>
          </w:tcPr>
          <w:p w14:paraId="1555601E"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 </w:t>
            </w:r>
          </w:p>
        </w:tc>
      </w:tr>
      <w:tr w:rsidR="00A6575C" w:rsidRPr="00A6575C" w14:paraId="3C021290" w14:textId="77777777" w:rsidTr="00A6575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664157F3" w14:textId="77777777" w:rsidR="0037412E" w:rsidRPr="00ED12C5" w:rsidRDefault="0037412E" w:rsidP="00EB3246">
            <w:pPr>
              <w:widowControl/>
              <w:autoSpaceDE/>
              <w:autoSpaceDN/>
              <w:rPr>
                <w:rFonts w:eastAsia="Times New Roman" w:cs="Calibri"/>
                <w:sz w:val="18"/>
                <w:szCs w:val="18"/>
                <w:lang w:eastAsia="en-GB"/>
              </w:rPr>
            </w:pPr>
            <w:r w:rsidRPr="00ED12C5">
              <w:rPr>
                <w:rFonts w:eastAsia="Times New Roman" w:cs="Calibri"/>
                <w:sz w:val="18"/>
                <w:szCs w:val="18"/>
                <w:lang w:eastAsia="en-GB"/>
              </w:rPr>
              <w:t>Unrestricted reserves:</w:t>
            </w:r>
          </w:p>
        </w:tc>
        <w:tc>
          <w:tcPr>
            <w:tcW w:w="1023" w:type="dxa"/>
            <w:vAlign w:val="center"/>
            <w:hideMark/>
          </w:tcPr>
          <w:p w14:paraId="73D7F2AB"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23" w:type="dxa"/>
            <w:vAlign w:val="center"/>
            <w:hideMark/>
          </w:tcPr>
          <w:p w14:paraId="3E8591D1"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43" w:type="dxa"/>
            <w:vAlign w:val="center"/>
            <w:hideMark/>
          </w:tcPr>
          <w:p w14:paraId="2537D6F8"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32" w:type="dxa"/>
            <w:vAlign w:val="center"/>
            <w:hideMark/>
          </w:tcPr>
          <w:p w14:paraId="6A3EABFA"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47" w:type="dxa"/>
            <w:vAlign w:val="center"/>
            <w:hideMark/>
          </w:tcPr>
          <w:p w14:paraId="01588565"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n-GB"/>
              </w:rPr>
            </w:pPr>
          </w:p>
        </w:tc>
      </w:tr>
      <w:tr w:rsidR="00A6575C" w:rsidRPr="00A6575C" w14:paraId="7A414DA7" w14:textId="77777777" w:rsidTr="00A6575C">
        <w:trPr>
          <w:trHeight w:val="255"/>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368EF1DC" w14:textId="77777777" w:rsidR="0037412E" w:rsidRPr="00ED12C5" w:rsidRDefault="0037412E" w:rsidP="00EB3246">
            <w:pPr>
              <w:widowControl/>
              <w:autoSpaceDE/>
              <w:autoSpaceDN/>
              <w:rPr>
                <w:rFonts w:eastAsia="Times New Roman" w:cs="Calibri"/>
                <w:sz w:val="18"/>
                <w:szCs w:val="18"/>
                <w:lang w:eastAsia="en-GB"/>
              </w:rPr>
            </w:pPr>
            <w:r w:rsidRPr="00ED12C5">
              <w:rPr>
                <w:rFonts w:eastAsia="Times New Roman" w:cs="Calibri"/>
                <w:sz w:val="18"/>
                <w:szCs w:val="18"/>
                <w:lang w:eastAsia="en-GB"/>
              </w:rPr>
              <w:t>Designated reserves:</w:t>
            </w:r>
          </w:p>
        </w:tc>
        <w:tc>
          <w:tcPr>
            <w:tcW w:w="1023" w:type="dxa"/>
            <w:vAlign w:val="center"/>
            <w:hideMark/>
          </w:tcPr>
          <w:p w14:paraId="24E1582B"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023" w:type="dxa"/>
            <w:vAlign w:val="center"/>
            <w:hideMark/>
          </w:tcPr>
          <w:p w14:paraId="74003BE4"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143" w:type="dxa"/>
            <w:noWrap/>
            <w:vAlign w:val="center"/>
            <w:hideMark/>
          </w:tcPr>
          <w:p w14:paraId="4806849A"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132" w:type="dxa"/>
            <w:vAlign w:val="center"/>
            <w:hideMark/>
          </w:tcPr>
          <w:p w14:paraId="3D19DBA4"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en-GB"/>
              </w:rPr>
            </w:pPr>
          </w:p>
        </w:tc>
        <w:tc>
          <w:tcPr>
            <w:tcW w:w="1147" w:type="dxa"/>
            <w:vAlign w:val="center"/>
            <w:hideMark/>
          </w:tcPr>
          <w:p w14:paraId="240BF84C"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eastAsia="en-GB"/>
              </w:rPr>
            </w:pPr>
          </w:p>
        </w:tc>
      </w:tr>
      <w:tr w:rsidR="00A6575C" w:rsidRPr="00A6575C" w14:paraId="0BBB25DE" w14:textId="77777777" w:rsidTr="00A65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tcPr>
          <w:p w14:paraId="54F18D6C" w14:textId="32A95914" w:rsidR="00A6575C" w:rsidRPr="00A6575C" w:rsidRDefault="00A6575C" w:rsidP="00A6575C">
            <w:pPr>
              <w:widowControl/>
              <w:autoSpaceDE/>
              <w:autoSpaceDN/>
              <w:rPr>
                <w:rFonts w:eastAsia="Times New Roman" w:cs="Calibri"/>
                <w:b w:val="0"/>
                <w:bCs w:val="0"/>
                <w:sz w:val="18"/>
                <w:szCs w:val="18"/>
                <w:lang w:eastAsia="en-GB"/>
              </w:rPr>
            </w:pPr>
            <w:r w:rsidRPr="00A6575C">
              <w:rPr>
                <w:rFonts w:cs="Calibri"/>
                <w:b w:val="0"/>
                <w:bCs w:val="0"/>
                <w:sz w:val="18"/>
                <w:szCs w:val="18"/>
              </w:rPr>
              <w:t>Operating Reserve</w:t>
            </w:r>
          </w:p>
        </w:tc>
        <w:tc>
          <w:tcPr>
            <w:tcW w:w="1023" w:type="dxa"/>
            <w:noWrap/>
            <w:vAlign w:val="bottom"/>
          </w:tcPr>
          <w:p w14:paraId="51CB57A7" w14:textId="4F8351ED" w:rsidR="00A6575C" w:rsidRPr="00A6575C"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400,000</w:t>
            </w:r>
          </w:p>
        </w:tc>
        <w:tc>
          <w:tcPr>
            <w:tcW w:w="1023" w:type="dxa"/>
            <w:noWrap/>
            <w:vAlign w:val="center"/>
          </w:tcPr>
          <w:p w14:paraId="00EE7F55" w14:textId="630EC882" w:rsidR="00A6575C" w:rsidRPr="00A6575C"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c>
          <w:tcPr>
            <w:tcW w:w="1143" w:type="dxa"/>
            <w:noWrap/>
            <w:vAlign w:val="center"/>
          </w:tcPr>
          <w:p w14:paraId="5897954D" w14:textId="2E277EE3" w:rsidR="00A6575C" w:rsidRPr="00A6575C"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c>
          <w:tcPr>
            <w:tcW w:w="1132" w:type="dxa"/>
            <w:noWrap/>
            <w:vAlign w:val="bottom"/>
          </w:tcPr>
          <w:p w14:paraId="4A47985E" w14:textId="4EFB5F2C" w:rsidR="00A6575C" w:rsidRPr="00A6575C"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(400,000)</w:t>
            </w:r>
          </w:p>
        </w:tc>
        <w:tc>
          <w:tcPr>
            <w:tcW w:w="1147" w:type="dxa"/>
            <w:noWrap/>
            <w:vAlign w:val="bottom"/>
          </w:tcPr>
          <w:p w14:paraId="37AD3AF2" w14:textId="6209FBA5" w:rsidR="00A6575C" w:rsidRPr="00A6575C"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w:t>
            </w:r>
          </w:p>
        </w:tc>
      </w:tr>
      <w:tr w:rsidR="00A6575C" w:rsidRPr="00A6575C" w14:paraId="404EB47D" w14:textId="77777777" w:rsidTr="00A6575C">
        <w:trPr>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tcPr>
          <w:p w14:paraId="4A38BD5F" w14:textId="25CB353A" w:rsidR="00A6575C" w:rsidRPr="00A6575C" w:rsidRDefault="00A6575C" w:rsidP="00A6575C">
            <w:pPr>
              <w:widowControl/>
              <w:autoSpaceDE/>
              <w:autoSpaceDN/>
              <w:rPr>
                <w:rFonts w:eastAsia="Times New Roman" w:cs="Calibri"/>
                <w:b w:val="0"/>
                <w:bCs w:val="0"/>
                <w:sz w:val="18"/>
                <w:szCs w:val="18"/>
                <w:lang w:eastAsia="en-GB"/>
              </w:rPr>
            </w:pPr>
            <w:r w:rsidRPr="00A6575C">
              <w:rPr>
                <w:rFonts w:cs="Calibri"/>
                <w:b w:val="0"/>
                <w:bCs w:val="0"/>
                <w:sz w:val="18"/>
                <w:szCs w:val="18"/>
              </w:rPr>
              <w:t>Dilapidation Reserve</w:t>
            </w:r>
          </w:p>
        </w:tc>
        <w:tc>
          <w:tcPr>
            <w:tcW w:w="1023" w:type="dxa"/>
            <w:noWrap/>
            <w:vAlign w:val="bottom"/>
          </w:tcPr>
          <w:p w14:paraId="7DC5CF75" w14:textId="7BEADEDD" w:rsidR="00A6575C" w:rsidRPr="00A6575C"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143,165</w:t>
            </w:r>
          </w:p>
        </w:tc>
        <w:tc>
          <w:tcPr>
            <w:tcW w:w="1023" w:type="dxa"/>
            <w:noWrap/>
            <w:vAlign w:val="center"/>
          </w:tcPr>
          <w:p w14:paraId="28B4B590" w14:textId="492F1438" w:rsidR="00A6575C" w:rsidRPr="00A6575C"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c>
          <w:tcPr>
            <w:tcW w:w="1143" w:type="dxa"/>
            <w:noWrap/>
            <w:vAlign w:val="center"/>
          </w:tcPr>
          <w:p w14:paraId="37A62B1B" w14:textId="3C3B9C70" w:rsidR="00A6575C" w:rsidRPr="00A6575C"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c>
          <w:tcPr>
            <w:tcW w:w="1132" w:type="dxa"/>
            <w:noWrap/>
            <w:vAlign w:val="bottom"/>
          </w:tcPr>
          <w:p w14:paraId="7CD083D2" w14:textId="1C7F0742" w:rsidR="00A6575C" w:rsidRPr="00A6575C"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(143,165)</w:t>
            </w:r>
          </w:p>
        </w:tc>
        <w:tc>
          <w:tcPr>
            <w:tcW w:w="1147" w:type="dxa"/>
            <w:noWrap/>
            <w:vAlign w:val="bottom"/>
          </w:tcPr>
          <w:p w14:paraId="665E0766" w14:textId="3407C6C1" w:rsidR="00A6575C" w:rsidRPr="00A6575C"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w:t>
            </w:r>
          </w:p>
        </w:tc>
      </w:tr>
      <w:tr w:rsidR="00A6575C" w:rsidRPr="00A6575C" w14:paraId="4198F2BA" w14:textId="77777777" w:rsidTr="00A65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364CFBE6" w14:textId="5CABFAAF" w:rsidR="00A6575C" w:rsidRPr="00ED12C5" w:rsidRDefault="00A6575C" w:rsidP="00A6575C">
            <w:pPr>
              <w:widowControl/>
              <w:autoSpaceDE/>
              <w:autoSpaceDN/>
              <w:rPr>
                <w:rFonts w:eastAsia="Times New Roman" w:cs="Calibri"/>
                <w:b w:val="0"/>
                <w:bCs w:val="0"/>
                <w:sz w:val="18"/>
                <w:szCs w:val="18"/>
                <w:lang w:eastAsia="en-GB"/>
              </w:rPr>
            </w:pPr>
            <w:r w:rsidRPr="00A6575C">
              <w:rPr>
                <w:rFonts w:cs="Calibri"/>
                <w:b w:val="0"/>
                <w:bCs w:val="0"/>
                <w:sz w:val="18"/>
                <w:szCs w:val="18"/>
              </w:rPr>
              <w:t>Centenary Reserve</w:t>
            </w:r>
          </w:p>
        </w:tc>
        <w:tc>
          <w:tcPr>
            <w:tcW w:w="1023" w:type="dxa"/>
            <w:noWrap/>
            <w:vAlign w:val="bottom"/>
            <w:hideMark/>
          </w:tcPr>
          <w:p w14:paraId="426886B0" w14:textId="273B1A3B"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w:t>
            </w:r>
          </w:p>
        </w:tc>
        <w:tc>
          <w:tcPr>
            <w:tcW w:w="1023" w:type="dxa"/>
            <w:noWrap/>
            <w:vAlign w:val="center"/>
            <w:hideMark/>
          </w:tcPr>
          <w:p w14:paraId="3F03E980" w14:textId="77777777"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3" w:type="dxa"/>
            <w:noWrap/>
            <w:vAlign w:val="center"/>
            <w:hideMark/>
          </w:tcPr>
          <w:p w14:paraId="1421ABFE" w14:textId="0A46B59A"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c>
          <w:tcPr>
            <w:tcW w:w="1132" w:type="dxa"/>
            <w:noWrap/>
            <w:vAlign w:val="bottom"/>
            <w:hideMark/>
          </w:tcPr>
          <w:p w14:paraId="6ACFF69A" w14:textId="30594EA5"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250,000</w:t>
            </w:r>
          </w:p>
        </w:tc>
        <w:tc>
          <w:tcPr>
            <w:tcW w:w="1147" w:type="dxa"/>
            <w:noWrap/>
            <w:vAlign w:val="bottom"/>
            <w:hideMark/>
          </w:tcPr>
          <w:p w14:paraId="47346F26" w14:textId="7A86101B"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250,000</w:t>
            </w:r>
          </w:p>
        </w:tc>
      </w:tr>
      <w:tr w:rsidR="00A6575C" w:rsidRPr="00A6575C" w14:paraId="3C186355" w14:textId="77777777" w:rsidTr="00A6575C">
        <w:trPr>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23A48EF5" w14:textId="0951BBCD" w:rsidR="00A6575C" w:rsidRPr="00ED12C5" w:rsidRDefault="00A6575C" w:rsidP="00A6575C">
            <w:pPr>
              <w:widowControl/>
              <w:autoSpaceDE/>
              <w:autoSpaceDN/>
              <w:rPr>
                <w:rFonts w:eastAsia="Times New Roman" w:cs="Calibri"/>
                <w:b w:val="0"/>
                <w:bCs w:val="0"/>
                <w:sz w:val="18"/>
                <w:szCs w:val="18"/>
                <w:lang w:eastAsia="en-GB"/>
              </w:rPr>
            </w:pPr>
            <w:r w:rsidRPr="00A6575C">
              <w:rPr>
                <w:rFonts w:cs="Calibri"/>
                <w:b w:val="0"/>
                <w:bCs w:val="0"/>
                <w:sz w:val="18"/>
                <w:szCs w:val="18"/>
              </w:rPr>
              <w:t>Capital Projects Reserve</w:t>
            </w:r>
          </w:p>
        </w:tc>
        <w:tc>
          <w:tcPr>
            <w:tcW w:w="1023" w:type="dxa"/>
            <w:noWrap/>
            <w:vAlign w:val="bottom"/>
            <w:hideMark/>
          </w:tcPr>
          <w:p w14:paraId="7B0D081E" w14:textId="7BCD34A8"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200,000</w:t>
            </w:r>
          </w:p>
        </w:tc>
        <w:tc>
          <w:tcPr>
            <w:tcW w:w="1023" w:type="dxa"/>
            <w:noWrap/>
            <w:vAlign w:val="center"/>
            <w:hideMark/>
          </w:tcPr>
          <w:p w14:paraId="3DFD732A" w14:textId="77777777"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3" w:type="dxa"/>
            <w:noWrap/>
            <w:vAlign w:val="center"/>
            <w:hideMark/>
          </w:tcPr>
          <w:p w14:paraId="3F37ED4C" w14:textId="77777777"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32" w:type="dxa"/>
            <w:noWrap/>
            <w:vAlign w:val="bottom"/>
            <w:hideMark/>
          </w:tcPr>
          <w:p w14:paraId="5F974AAF" w14:textId="22EA08BC"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(200,000)</w:t>
            </w:r>
          </w:p>
        </w:tc>
        <w:tc>
          <w:tcPr>
            <w:tcW w:w="1147" w:type="dxa"/>
            <w:noWrap/>
            <w:vAlign w:val="bottom"/>
            <w:hideMark/>
          </w:tcPr>
          <w:p w14:paraId="4A18FFC1" w14:textId="1655629D"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w:t>
            </w:r>
          </w:p>
        </w:tc>
      </w:tr>
      <w:tr w:rsidR="00A6575C" w:rsidRPr="00A6575C" w14:paraId="60BC6C30" w14:textId="77777777" w:rsidTr="00A657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0EA79404" w14:textId="16DAC78F" w:rsidR="00A6575C" w:rsidRPr="00ED12C5" w:rsidRDefault="00A6575C" w:rsidP="00A6575C">
            <w:pPr>
              <w:widowControl/>
              <w:autoSpaceDE/>
              <w:autoSpaceDN/>
              <w:rPr>
                <w:rFonts w:eastAsia="Times New Roman" w:cs="Calibri"/>
                <w:b w:val="0"/>
                <w:bCs w:val="0"/>
                <w:sz w:val="18"/>
                <w:szCs w:val="18"/>
                <w:lang w:eastAsia="en-GB"/>
              </w:rPr>
            </w:pPr>
            <w:r w:rsidRPr="00A6575C">
              <w:rPr>
                <w:rFonts w:cs="Calibri"/>
                <w:b w:val="0"/>
                <w:bCs w:val="0"/>
                <w:sz w:val="18"/>
                <w:szCs w:val="18"/>
              </w:rPr>
              <w:t>Partner Support Reserve</w:t>
            </w:r>
          </w:p>
        </w:tc>
        <w:tc>
          <w:tcPr>
            <w:tcW w:w="1023" w:type="dxa"/>
            <w:noWrap/>
            <w:vAlign w:val="bottom"/>
            <w:hideMark/>
          </w:tcPr>
          <w:p w14:paraId="4DE612A7" w14:textId="202FD30C"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250,000</w:t>
            </w:r>
          </w:p>
        </w:tc>
        <w:tc>
          <w:tcPr>
            <w:tcW w:w="1023" w:type="dxa"/>
            <w:noWrap/>
            <w:vAlign w:val="center"/>
            <w:hideMark/>
          </w:tcPr>
          <w:p w14:paraId="0E666929" w14:textId="77777777"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3" w:type="dxa"/>
            <w:noWrap/>
            <w:vAlign w:val="center"/>
            <w:hideMark/>
          </w:tcPr>
          <w:p w14:paraId="09DD113B" w14:textId="77777777"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32" w:type="dxa"/>
            <w:noWrap/>
            <w:vAlign w:val="bottom"/>
            <w:hideMark/>
          </w:tcPr>
          <w:p w14:paraId="00EAB4EB" w14:textId="36B6E6B8"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w:t>
            </w:r>
          </w:p>
        </w:tc>
        <w:tc>
          <w:tcPr>
            <w:tcW w:w="1147" w:type="dxa"/>
            <w:noWrap/>
            <w:vAlign w:val="bottom"/>
            <w:hideMark/>
          </w:tcPr>
          <w:p w14:paraId="472B3C7D" w14:textId="0A51BFDB"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250,000</w:t>
            </w:r>
          </w:p>
        </w:tc>
      </w:tr>
      <w:tr w:rsidR="00A6575C" w:rsidRPr="00A6575C" w14:paraId="29C13DEF" w14:textId="77777777" w:rsidTr="00A6575C">
        <w:trPr>
          <w:trHeight w:val="255"/>
        </w:trPr>
        <w:tc>
          <w:tcPr>
            <w:cnfStyle w:val="001000000000" w:firstRow="0" w:lastRow="0" w:firstColumn="1" w:lastColumn="0" w:oddVBand="0" w:evenVBand="0" w:oddHBand="0" w:evenHBand="0" w:firstRowFirstColumn="0" w:firstRowLastColumn="0" w:lastRowFirstColumn="0" w:lastRowLastColumn="0"/>
            <w:tcW w:w="3552" w:type="dxa"/>
            <w:vAlign w:val="bottom"/>
            <w:hideMark/>
          </w:tcPr>
          <w:p w14:paraId="378F5E81" w14:textId="7895D232" w:rsidR="00A6575C" w:rsidRPr="00ED12C5" w:rsidRDefault="00A6575C" w:rsidP="00A6575C">
            <w:pPr>
              <w:widowControl/>
              <w:autoSpaceDE/>
              <w:autoSpaceDN/>
              <w:rPr>
                <w:rFonts w:eastAsia="Times New Roman" w:cs="Calibri"/>
                <w:b w:val="0"/>
                <w:bCs w:val="0"/>
                <w:sz w:val="18"/>
                <w:szCs w:val="18"/>
                <w:lang w:eastAsia="en-GB"/>
              </w:rPr>
            </w:pPr>
            <w:r w:rsidRPr="00A6575C">
              <w:rPr>
                <w:rFonts w:cs="Calibri"/>
                <w:b w:val="0"/>
                <w:bCs w:val="0"/>
                <w:sz w:val="18"/>
                <w:szCs w:val="18"/>
              </w:rPr>
              <w:t>Strategic Purposes Reserve</w:t>
            </w:r>
          </w:p>
        </w:tc>
        <w:tc>
          <w:tcPr>
            <w:tcW w:w="1023" w:type="dxa"/>
            <w:tcBorders>
              <w:bottom w:val="single" w:sz="4" w:space="0" w:color="auto"/>
            </w:tcBorders>
            <w:noWrap/>
            <w:vAlign w:val="bottom"/>
            <w:hideMark/>
          </w:tcPr>
          <w:p w14:paraId="12295860" w14:textId="1C925862"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600,000</w:t>
            </w:r>
          </w:p>
        </w:tc>
        <w:tc>
          <w:tcPr>
            <w:tcW w:w="1023" w:type="dxa"/>
            <w:tcBorders>
              <w:bottom w:val="single" w:sz="4" w:space="0" w:color="auto"/>
            </w:tcBorders>
            <w:noWrap/>
            <w:vAlign w:val="center"/>
            <w:hideMark/>
          </w:tcPr>
          <w:p w14:paraId="573028B9" w14:textId="77777777"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3" w:type="dxa"/>
            <w:tcBorders>
              <w:bottom w:val="single" w:sz="4" w:space="0" w:color="auto"/>
            </w:tcBorders>
            <w:noWrap/>
            <w:vAlign w:val="center"/>
            <w:hideMark/>
          </w:tcPr>
          <w:p w14:paraId="6D9736D8" w14:textId="77777777"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32" w:type="dxa"/>
            <w:tcBorders>
              <w:bottom w:val="single" w:sz="4" w:space="0" w:color="auto"/>
            </w:tcBorders>
            <w:noWrap/>
            <w:vAlign w:val="bottom"/>
            <w:hideMark/>
          </w:tcPr>
          <w:p w14:paraId="5D1FDD0D" w14:textId="0F60E798"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(422,000)</w:t>
            </w:r>
          </w:p>
        </w:tc>
        <w:tc>
          <w:tcPr>
            <w:tcW w:w="1147" w:type="dxa"/>
            <w:tcBorders>
              <w:bottom w:val="single" w:sz="4" w:space="0" w:color="auto"/>
            </w:tcBorders>
            <w:noWrap/>
            <w:vAlign w:val="bottom"/>
            <w:hideMark/>
          </w:tcPr>
          <w:p w14:paraId="2A701ACF" w14:textId="34A96EDC"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178,000</w:t>
            </w:r>
          </w:p>
        </w:tc>
      </w:tr>
      <w:tr w:rsidR="00A6575C" w:rsidRPr="00A6575C" w14:paraId="56753871" w14:textId="77777777" w:rsidTr="00A6575C">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7571BF48" w14:textId="77777777" w:rsidR="0037412E" w:rsidRPr="00ED12C5" w:rsidRDefault="0037412E" w:rsidP="00EB3246">
            <w:pPr>
              <w:widowControl/>
              <w:autoSpaceDE/>
              <w:autoSpaceDN/>
              <w:rPr>
                <w:rFonts w:eastAsia="Times New Roman" w:cs="Calibri"/>
                <w:sz w:val="18"/>
                <w:szCs w:val="18"/>
                <w:lang w:eastAsia="en-GB"/>
              </w:rPr>
            </w:pPr>
          </w:p>
        </w:tc>
        <w:tc>
          <w:tcPr>
            <w:tcW w:w="1023" w:type="dxa"/>
            <w:tcBorders>
              <w:top w:val="single" w:sz="4" w:space="0" w:color="auto"/>
            </w:tcBorders>
            <w:vAlign w:val="center"/>
            <w:hideMark/>
          </w:tcPr>
          <w:p w14:paraId="27C4159C"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023" w:type="dxa"/>
            <w:tcBorders>
              <w:top w:val="single" w:sz="4" w:space="0" w:color="auto"/>
            </w:tcBorders>
            <w:vAlign w:val="center"/>
            <w:hideMark/>
          </w:tcPr>
          <w:p w14:paraId="287DBD3E"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43" w:type="dxa"/>
            <w:tcBorders>
              <w:top w:val="single" w:sz="4" w:space="0" w:color="auto"/>
            </w:tcBorders>
            <w:vAlign w:val="center"/>
            <w:hideMark/>
          </w:tcPr>
          <w:p w14:paraId="7AD1B682"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32" w:type="dxa"/>
            <w:tcBorders>
              <w:top w:val="single" w:sz="4" w:space="0" w:color="auto"/>
            </w:tcBorders>
            <w:vAlign w:val="center"/>
            <w:hideMark/>
          </w:tcPr>
          <w:p w14:paraId="5A5381E6"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en-GB"/>
              </w:rPr>
            </w:pPr>
          </w:p>
        </w:tc>
        <w:tc>
          <w:tcPr>
            <w:tcW w:w="1147" w:type="dxa"/>
            <w:tcBorders>
              <w:top w:val="single" w:sz="4" w:space="0" w:color="auto"/>
            </w:tcBorders>
            <w:vAlign w:val="center"/>
            <w:hideMark/>
          </w:tcPr>
          <w:p w14:paraId="50AB4B51"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8"/>
                <w:szCs w:val="18"/>
                <w:lang w:eastAsia="en-GB"/>
              </w:rPr>
            </w:pPr>
          </w:p>
        </w:tc>
      </w:tr>
      <w:tr w:rsidR="00A6575C" w:rsidRPr="00A6575C" w14:paraId="3107A7E8" w14:textId="77777777" w:rsidTr="00A6575C">
        <w:trPr>
          <w:trHeight w:val="285"/>
        </w:trPr>
        <w:tc>
          <w:tcPr>
            <w:cnfStyle w:val="001000000000" w:firstRow="0" w:lastRow="0" w:firstColumn="1" w:lastColumn="0" w:oddVBand="0" w:evenVBand="0" w:oddHBand="0" w:evenHBand="0" w:firstRowFirstColumn="0" w:firstRowLastColumn="0" w:lastRowFirstColumn="0" w:lastRowLastColumn="0"/>
            <w:tcW w:w="3552" w:type="dxa"/>
            <w:noWrap/>
            <w:vAlign w:val="center"/>
            <w:hideMark/>
          </w:tcPr>
          <w:p w14:paraId="6A0334F8" w14:textId="77777777" w:rsidR="0037412E" w:rsidRPr="00ED12C5" w:rsidRDefault="0037412E" w:rsidP="00EB3246">
            <w:pPr>
              <w:widowControl/>
              <w:autoSpaceDE/>
              <w:autoSpaceDN/>
              <w:rPr>
                <w:rFonts w:eastAsia="Times New Roman" w:cs="Calibri"/>
                <w:sz w:val="18"/>
                <w:szCs w:val="18"/>
                <w:lang w:eastAsia="en-GB"/>
              </w:rPr>
            </w:pPr>
            <w:r w:rsidRPr="00ED12C5">
              <w:rPr>
                <w:rFonts w:eastAsia="Times New Roman" w:cs="Calibri"/>
                <w:sz w:val="18"/>
                <w:szCs w:val="18"/>
                <w:lang w:eastAsia="en-GB"/>
              </w:rPr>
              <w:t>Total designated reserves</w:t>
            </w:r>
          </w:p>
        </w:tc>
        <w:tc>
          <w:tcPr>
            <w:tcW w:w="1023" w:type="dxa"/>
            <w:tcBorders>
              <w:bottom w:val="single" w:sz="4" w:space="0" w:color="auto"/>
            </w:tcBorders>
            <w:noWrap/>
            <w:vAlign w:val="center"/>
            <w:hideMark/>
          </w:tcPr>
          <w:p w14:paraId="1813F9D8" w14:textId="52374190" w:rsidR="0037412E" w:rsidRPr="00ED12C5" w:rsidRDefault="00A6575C" w:rsidP="00A6575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1,593,165</w:t>
            </w:r>
          </w:p>
        </w:tc>
        <w:tc>
          <w:tcPr>
            <w:tcW w:w="1023" w:type="dxa"/>
            <w:tcBorders>
              <w:bottom w:val="single" w:sz="4" w:space="0" w:color="auto"/>
            </w:tcBorders>
            <w:noWrap/>
            <w:vAlign w:val="center"/>
            <w:hideMark/>
          </w:tcPr>
          <w:p w14:paraId="51648E96"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3" w:type="dxa"/>
            <w:tcBorders>
              <w:bottom w:val="single" w:sz="4" w:space="0" w:color="auto"/>
            </w:tcBorders>
            <w:noWrap/>
            <w:vAlign w:val="center"/>
            <w:hideMark/>
          </w:tcPr>
          <w:p w14:paraId="19BEF666" w14:textId="2A0F0B43" w:rsidR="0037412E" w:rsidRPr="00ED12C5" w:rsidRDefault="00A6575C"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w:t>
            </w:r>
          </w:p>
        </w:tc>
        <w:tc>
          <w:tcPr>
            <w:tcW w:w="1132" w:type="dxa"/>
            <w:tcBorders>
              <w:bottom w:val="single" w:sz="4" w:space="0" w:color="auto"/>
            </w:tcBorders>
            <w:noWrap/>
            <w:vAlign w:val="center"/>
            <w:hideMark/>
          </w:tcPr>
          <w:p w14:paraId="4DFF5BBB" w14:textId="6AEF3B15" w:rsidR="0037412E" w:rsidRPr="00ED12C5" w:rsidRDefault="00A6575C"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eastAsia="Times New Roman" w:cs="Calibri"/>
                <w:sz w:val="18"/>
                <w:szCs w:val="18"/>
                <w:lang w:eastAsia="en-GB"/>
              </w:rPr>
              <w:t>(915,165)</w:t>
            </w:r>
          </w:p>
        </w:tc>
        <w:tc>
          <w:tcPr>
            <w:tcW w:w="1147" w:type="dxa"/>
            <w:tcBorders>
              <w:bottom w:val="single" w:sz="4" w:space="0" w:color="auto"/>
            </w:tcBorders>
            <w:noWrap/>
            <w:vAlign w:val="center"/>
            <w:hideMark/>
          </w:tcPr>
          <w:p w14:paraId="586EE302" w14:textId="3A3C811C" w:rsidR="0037412E" w:rsidRPr="00ED12C5" w:rsidRDefault="00A6575C"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A6575C">
              <w:rPr>
                <w:rFonts w:eastAsia="Times New Roman" w:cs="Calibri"/>
                <w:b/>
                <w:bCs/>
                <w:sz w:val="18"/>
                <w:szCs w:val="18"/>
                <w:lang w:eastAsia="en-GB"/>
              </w:rPr>
              <w:t>678,000</w:t>
            </w:r>
          </w:p>
        </w:tc>
      </w:tr>
      <w:tr w:rsidR="00A6575C" w:rsidRPr="00A6575C" w14:paraId="312310B1" w14:textId="77777777" w:rsidTr="00A6575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0DC14381" w14:textId="77777777" w:rsidR="0037412E" w:rsidRPr="00ED12C5" w:rsidRDefault="0037412E" w:rsidP="00EB3246">
            <w:pPr>
              <w:widowControl/>
              <w:autoSpaceDE/>
              <w:autoSpaceDN/>
              <w:rPr>
                <w:rFonts w:eastAsia="Times New Roman" w:cs="Calibri"/>
                <w:sz w:val="18"/>
                <w:szCs w:val="18"/>
                <w:lang w:eastAsia="en-GB"/>
              </w:rPr>
            </w:pPr>
          </w:p>
        </w:tc>
        <w:tc>
          <w:tcPr>
            <w:tcW w:w="1023" w:type="dxa"/>
            <w:tcBorders>
              <w:top w:val="single" w:sz="4" w:space="0" w:color="auto"/>
            </w:tcBorders>
            <w:noWrap/>
            <w:vAlign w:val="center"/>
            <w:hideMark/>
          </w:tcPr>
          <w:p w14:paraId="4A4765A2"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023" w:type="dxa"/>
            <w:tcBorders>
              <w:top w:val="single" w:sz="4" w:space="0" w:color="auto"/>
            </w:tcBorders>
            <w:noWrap/>
            <w:vAlign w:val="center"/>
            <w:hideMark/>
          </w:tcPr>
          <w:p w14:paraId="3012D36A"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43" w:type="dxa"/>
            <w:tcBorders>
              <w:top w:val="single" w:sz="4" w:space="0" w:color="auto"/>
            </w:tcBorders>
            <w:noWrap/>
            <w:vAlign w:val="center"/>
            <w:hideMark/>
          </w:tcPr>
          <w:p w14:paraId="5D4561FF"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32" w:type="dxa"/>
            <w:tcBorders>
              <w:top w:val="single" w:sz="4" w:space="0" w:color="auto"/>
            </w:tcBorders>
            <w:noWrap/>
            <w:vAlign w:val="center"/>
            <w:hideMark/>
          </w:tcPr>
          <w:p w14:paraId="49CD6155"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47" w:type="dxa"/>
            <w:tcBorders>
              <w:top w:val="single" w:sz="4" w:space="0" w:color="auto"/>
            </w:tcBorders>
            <w:noWrap/>
            <w:vAlign w:val="center"/>
            <w:hideMark/>
          </w:tcPr>
          <w:p w14:paraId="671BD0B8"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 </w:t>
            </w:r>
          </w:p>
        </w:tc>
      </w:tr>
      <w:tr w:rsidR="00A6575C" w:rsidRPr="00A6575C" w14:paraId="55A2433B" w14:textId="77777777" w:rsidTr="00A6575C">
        <w:trPr>
          <w:trHeight w:val="300"/>
        </w:trPr>
        <w:tc>
          <w:tcPr>
            <w:cnfStyle w:val="001000000000" w:firstRow="0" w:lastRow="0" w:firstColumn="1" w:lastColumn="0" w:oddVBand="0" w:evenVBand="0" w:oddHBand="0" w:evenHBand="0" w:firstRowFirstColumn="0" w:firstRowLastColumn="0" w:lastRowFirstColumn="0" w:lastRowLastColumn="0"/>
            <w:tcW w:w="3552" w:type="dxa"/>
            <w:noWrap/>
            <w:vAlign w:val="center"/>
            <w:hideMark/>
          </w:tcPr>
          <w:p w14:paraId="294414B8" w14:textId="7DFB46EA" w:rsidR="00A6575C" w:rsidRPr="00ED12C5" w:rsidRDefault="00A6575C" w:rsidP="00A6575C">
            <w:pPr>
              <w:widowControl/>
              <w:autoSpaceDE/>
              <w:autoSpaceDN/>
              <w:rPr>
                <w:rFonts w:eastAsia="Times New Roman" w:cs="Calibri"/>
                <w:sz w:val="18"/>
                <w:szCs w:val="18"/>
                <w:lang w:eastAsia="en-GB"/>
              </w:rPr>
            </w:pPr>
            <w:r w:rsidRPr="00ED12C5">
              <w:rPr>
                <w:rFonts w:eastAsia="Times New Roman" w:cs="Calibri"/>
                <w:sz w:val="18"/>
                <w:szCs w:val="18"/>
                <w:lang w:eastAsia="en-GB"/>
              </w:rPr>
              <w:t xml:space="preserve">General </w:t>
            </w:r>
            <w:r w:rsidRPr="00A6575C">
              <w:rPr>
                <w:rFonts w:eastAsia="Times New Roman" w:cs="Calibri"/>
                <w:sz w:val="18"/>
                <w:szCs w:val="18"/>
                <w:lang w:eastAsia="en-GB"/>
              </w:rPr>
              <w:t>funds</w:t>
            </w:r>
          </w:p>
        </w:tc>
        <w:tc>
          <w:tcPr>
            <w:tcW w:w="1023" w:type="dxa"/>
            <w:noWrap/>
            <w:vAlign w:val="bottom"/>
            <w:hideMark/>
          </w:tcPr>
          <w:p w14:paraId="33DB9616" w14:textId="73BF3832"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1,062,245</w:t>
            </w:r>
          </w:p>
        </w:tc>
        <w:tc>
          <w:tcPr>
            <w:tcW w:w="1023" w:type="dxa"/>
            <w:noWrap/>
            <w:vAlign w:val="bottom"/>
            <w:hideMark/>
          </w:tcPr>
          <w:p w14:paraId="0A198929" w14:textId="07282CD3"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2,051,580</w:t>
            </w:r>
          </w:p>
        </w:tc>
        <w:tc>
          <w:tcPr>
            <w:tcW w:w="1143" w:type="dxa"/>
            <w:noWrap/>
            <w:vAlign w:val="bottom"/>
            <w:hideMark/>
          </w:tcPr>
          <w:p w14:paraId="10AFA218" w14:textId="1106D021"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(2,601,037)</w:t>
            </w:r>
          </w:p>
        </w:tc>
        <w:tc>
          <w:tcPr>
            <w:tcW w:w="1132" w:type="dxa"/>
            <w:noWrap/>
            <w:vAlign w:val="bottom"/>
            <w:hideMark/>
          </w:tcPr>
          <w:p w14:paraId="3CEA2F09" w14:textId="102C447C"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A6575C">
              <w:rPr>
                <w:rFonts w:cs="Calibri"/>
                <w:sz w:val="18"/>
                <w:szCs w:val="18"/>
              </w:rPr>
              <w:t>915,165</w:t>
            </w:r>
          </w:p>
        </w:tc>
        <w:tc>
          <w:tcPr>
            <w:tcW w:w="1147" w:type="dxa"/>
            <w:noWrap/>
            <w:vAlign w:val="bottom"/>
            <w:hideMark/>
          </w:tcPr>
          <w:p w14:paraId="7F1B4E92" w14:textId="40869353" w:rsidR="00A6575C" w:rsidRPr="00ED12C5" w:rsidRDefault="00A6575C" w:rsidP="00A6575C">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1,427,954</w:t>
            </w:r>
          </w:p>
        </w:tc>
      </w:tr>
      <w:tr w:rsidR="00A6575C" w:rsidRPr="00A6575C" w14:paraId="612BAB57" w14:textId="77777777" w:rsidTr="00A657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noWrap/>
            <w:vAlign w:val="center"/>
            <w:hideMark/>
          </w:tcPr>
          <w:p w14:paraId="4CFA0294" w14:textId="6F949975" w:rsidR="00A6575C" w:rsidRPr="00ED12C5" w:rsidRDefault="00A6575C" w:rsidP="00A6575C">
            <w:pPr>
              <w:widowControl/>
              <w:autoSpaceDE/>
              <w:autoSpaceDN/>
              <w:rPr>
                <w:rFonts w:eastAsia="Times New Roman" w:cs="Calibri"/>
                <w:sz w:val="18"/>
                <w:szCs w:val="18"/>
                <w:lang w:eastAsia="en-GB"/>
              </w:rPr>
            </w:pPr>
            <w:r w:rsidRPr="00ED12C5">
              <w:rPr>
                <w:rFonts w:eastAsia="Times New Roman" w:cs="Calibri"/>
                <w:sz w:val="18"/>
                <w:szCs w:val="18"/>
                <w:lang w:eastAsia="en-GB"/>
              </w:rPr>
              <w:t xml:space="preserve">Trading </w:t>
            </w:r>
            <w:r w:rsidRPr="00A6575C">
              <w:rPr>
                <w:rFonts w:eastAsia="Times New Roman" w:cs="Calibri"/>
                <w:sz w:val="18"/>
                <w:szCs w:val="18"/>
                <w:lang w:eastAsia="en-GB"/>
              </w:rPr>
              <w:t>funds</w:t>
            </w:r>
          </w:p>
        </w:tc>
        <w:tc>
          <w:tcPr>
            <w:tcW w:w="1023" w:type="dxa"/>
            <w:tcBorders>
              <w:bottom w:val="single" w:sz="4" w:space="0" w:color="auto"/>
            </w:tcBorders>
            <w:noWrap/>
            <w:vAlign w:val="bottom"/>
            <w:hideMark/>
          </w:tcPr>
          <w:p w14:paraId="2E41C0EF" w14:textId="4D9415BF"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10,944</w:t>
            </w:r>
          </w:p>
        </w:tc>
        <w:tc>
          <w:tcPr>
            <w:tcW w:w="1023" w:type="dxa"/>
            <w:tcBorders>
              <w:bottom w:val="single" w:sz="4" w:space="0" w:color="auto"/>
            </w:tcBorders>
            <w:noWrap/>
            <w:vAlign w:val="bottom"/>
            <w:hideMark/>
          </w:tcPr>
          <w:p w14:paraId="2B934A25" w14:textId="2C2F9933"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1,035,528</w:t>
            </w:r>
          </w:p>
        </w:tc>
        <w:tc>
          <w:tcPr>
            <w:tcW w:w="1143" w:type="dxa"/>
            <w:tcBorders>
              <w:bottom w:val="single" w:sz="4" w:space="0" w:color="auto"/>
            </w:tcBorders>
            <w:noWrap/>
            <w:vAlign w:val="bottom"/>
            <w:hideMark/>
          </w:tcPr>
          <w:p w14:paraId="4C90458E" w14:textId="24762D56"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(934,869)</w:t>
            </w:r>
          </w:p>
        </w:tc>
        <w:tc>
          <w:tcPr>
            <w:tcW w:w="1132" w:type="dxa"/>
            <w:tcBorders>
              <w:bottom w:val="single" w:sz="4" w:space="0" w:color="auto"/>
            </w:tcBorders>
            <w:noWrap/>
            <w:vAlign w:val="bottom"/>
            <w:hideMark/>
          </w:tcPr>
          <w:p w14:paraId="55C949CD" w14:textId="392E9AD1"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A6575C">
              <w:rPr>
                <w:rFonts w:cs="Calibri"/>
                <w:sz w:val="18"/>
                <w:szCs w:val="18"/>
              </w:rPr>
              <w:t>-</w:t>
            </w:r>
          </w:p>
        </w:tc>
        <w:tc>
          <w:tcPr>
            <w:tcW w:w="1147" w:type="dxa"/>
            <w:tcBorders>
              <w:bottom w:val="single" w:sz="4" w:space="0" w:color="auto"/>
            </w:tcBorders>
            <w:noWrap/>
            <w:vAlign w:val="bottom"/>
            <w:hideMark/>
          </w:tcPr>
          <w:p w14:paraId="262128EC" w14:textId="6748DC59" w:rsidR="00A6575C"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18"/>
                <w:szCs w:val="18"/>
                <w:lang w:eastAsia="en-GB"/>
              </w:rPr>
            </w:pPr>
            <w:r w:rsidRPr="00A6575C">
              <w:rPr>
                <w:rFonts w:cs="Calibri"/>
                <w:sz w:val="18"/>
                <w:szCs w:val="18"/>
              </w:rPr>
              <w:t>111,603</w:t>
            </w:r>
          </w:p>
        </w:tc>
      </w:tr>
      <w:tr w:rsidR="00A6575C" w:rsidRPr="00A6575C" w14:paraId="033580A3" w14:textId="77777777" w:rsidTr="00A6575C">
        <w:trPr>
          <w:trHeight w:val="135"/>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63591EFE" w14:textId="77777777" w:rsidR="0037412E" w:rsidRPr="00ED12C5" w:rsidRDefault="0037412E" w:rsidP="00EB3246">
            <w:pPr>
              <w:widowControl/>
              <w:autoSpaceDE/>
              <w:autoSpaceDN/>
              <w:rPr>
                <w:rFonts w:eastAsia="Times New Roman" w:cs="Calibri"/>
                <w:sz w:val="18"/>
                <w:szCs w:val="18"/>
                <w:lang w:eastAsia="en-GB"/>
              </w:rPr>
            </w:pPr>
          </w:p>
        </w:tc>
        <w:tc>
          <w:tcPr>
            <w:tcW w:w="1023" w:type="dxa"/>
            <w:tcBorders>
              <w:top w:val="single" w:sz="4" w:space="0" w:color="auto"/>
            </w:tcBorders>
            <w:noWrap/>
            <w:vAlign w:val="center"/>
            <w:hideMark/>
          </w:tcPr>
          <w:p w14:paraId="6D06CFCF"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023" w:type="dxa"/>
            <w:tcBorders>
              <w:top w:val="single" w:sz="4" w:space="0" w:color="auto"/>
            </w:tcBorders>
            <w:noWrap/>
            <w:vAlign w:val="center"/>
            <w:hideMark/>
          </w:tcPr>
          <w:p w14:paraId="395F3ABA"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43" w:type="dxa"/>
            <w:tcBorders>
              <w:top w:val="single" w:sz="4" w:space="0" w:color="auto"/>
            </w:tcBorders>
            <w:noWrap/>
            <w:vAlign w:val="center"/>
            <w:hideMark/>
          </w:tcPr>
          <w:p w14:paraId="155CB53C"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32" w:type="dxa"/>
            <w:tcBorders>
              <w:top w:val="single" w:sz="4" w:space="0" w:color="auto"/>
            </w:tcBorders>
            <w:noWrap/>
            <w:vAlign w:val="center"/>
            <w:hideMark/>
          </w:tcPr>
          <w:p w14:paraId="20A17319"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 </w:t>
            </w:r>
          </w:p>
        </w:tc>
        <w:tc>
          <w:tcPr>
            <w:tcW w:w="1147" w:type="dxa"/>
            <w:tcBorders>
              <w:top w:val="single" w:sz="4" w:space="0" w:color="auto"/>
            </w:tcBorders>
            <w:noWrap/>
            <w:vAlign w:val="center"/>
            <w:hideMark/>
          </w:tcPr>
          <w:p w14:paraId="6CC957AD" w14:textId="77777777" w:rsidR="0037412E" w:rsidRPr="00ED12C5" w:rsidRDefault="0037412E" w:rsidP="00EB3246">
            <w:pPr>
              <w:widowControl/>
              <w:autoSpaceDE/>
              <w:autoSpaceDN/>
              <w:jc w:val="right"/>
              <w:cnfStyle w:val="000000000000" w:firstRow="0" w:lastRow="0" w:firstColumn="0" w:lastColumn="0" w:oddVBand="0" w:evenVBand="0" w:oddHBand="0" w:evenHBand="0" w:firstRowFirstColumn="0" w:firstRowLastColumn="0" w:lastRowFirstColumn="0" w:lastRowLastColumn="0"/>
              <w:rPr>
                <w:rFonts w:eastAsia="Times New Roman" w:cs="Calibri"/>
                <w:b/>
                <w:bCs/>
                <w:sz w:val="18"/>
                <w:szCs w:val="18"/>
                <w:lang w:eastAsia="en-GB"/>
              </w:rPr>
            </w:pPr>
            <w:r w:rsidRPr="00ED12C5">
              <w:rPr>
                <w:rFonts w:eastAsia="Times New Roman" w:cs="Calibri"/>
                <w:b/>
                <w:bCs/>
                <w:sz w:val="18"/>
                <w:szCs w:val="18"/>
                <w:lang w:eastAsia="en-GB"/>
              </w:rPr>
              <w:t> </w:t>
            </w:r>
          </w:p>
        </w:tc>
      </w:tr>
      <w:tr w:rsidR="00A6575C" w:rsidRPr="00A6575C" w14:paraId="29A8801C" w14:textId="77777777" w:rsidTr="00A657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vAlign w:val="center"/>
            <w:hideMark/>
          </w:tcPr>
          <w:p w14:paraId="36949933" w14:textId="54EE100B" w:rsidR="0037412E" w:rsidRPr="00ED12C5" w:rsidRDefault="0037412E" w:rsidP="00EB3246">
            <w:pPr>
              <w:widowControl/>
              <w:autoSpaceDE/>
              <w:autoSpaceDN/>
              <w:rPr>
                <w:rFonts w:eastAsia="Times New Roman" w:cs="Calibri"/>
                <w:sz w:val="18"/>
                <w:szCs w:val="18"/>
                <w:lang w:eastAsia="en-GB"/>
              </w:rPr>
            </w:pPr>
            <w:r w:rsidRPr="00ED12C5">
              <w:rPr>
                <w:rFonts w:eastAsia="Times New Roman" w:cs="Calibri"/>
                <w:sz w:val="18"/>
                <w:szCs w:val="18"/>
                <w:lang w:eastAsia="en-GB"/>
              </w:rPr>
              <w:t xml:space="preserve">Total </w:t>
            </w:r>
            <w:r w:rsidR="00A6575C" w:rsidRPr="00A6575C">
              <w:rPr>
                <w:rFonts w:eastAsia="Times New Roman" w:cs="Calibri"/>
                <w:sz w:val="18"/>
                <w:szCs w:val="18"/>
                <w:lang w:eastAsia="en-GB"/>
              </w:rPr>
              <w:t xml:space="preserve">unrestricted </w:t>
            </w:r>
            <w:r w:rsidRPr="00ED12C5">
              <w:rPr>
                <w:rFonts w:eastAsia="Times New Roman" w:cs="Calibri"/>
                <w:sz w:val="18"/>
                <w:szCs w:val="18"/>
                <w:lang w:eastAsia="en-GB"/>
              </w:rPr>
              <w:t>reserves</w:t>
            </w:r>
          </w:p>
        </w:tc>
        <w:tc>
          <w:tcPr>
            <w:tcW w:w="1023" w:type="dxa"/>
            <w:tcBorders>
              <w:bottom w:val="double" w:sz="4" w:space="0" w:color="auto"/>
            </w:tcBorders>
            <w:noWrap/>
            <w:vAlign w:val="center"/>
            <w:hideMark/>
          </w:tcPr>
          <w:p w14:paraId="18F8290F" w14:textId="77777777" w:rsidR="00A6575C" w:rsidRPr="00A6575C"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6575C">
              <w:rPr>
                <w:rFonts w:cs="Calibri"/>
                <w:sz w:val="18"/>
                <w:szCs w:val="18"/>
              </w:rPr>
              <w:t>2,666,354</w:t>
            </w:r>
          </w:p>
          <w:p w14:paraId="7DC604E7" w14:textId="5288B329"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p>
        </w:tc>
        <w:tc>
          <w:tcPr>
            <w:tcW w:w="1023" w:type="dxa"/>
            <w:tcBorders>
              <w:bottom w:val="double" w:sz="4" w:space="0" w:color="auto"/>
            </w:tcBorders>
            <w:noWrap/>
            <w:vAlign w:val="center"/>
            <w:hideMark/>
          </w:tcPr>
          <w:p w14:paraId="30B71EC9" w14:textId="6CF704BE" w:rsidR="0037412E"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6575C">
              <w:rPr>
                <w:rFonts w:cs="Calibri"/>
                <w:sz w:val="18"/>
                <w:szCs w:val="18"/>
              </w:rPr>
              <w:t>3,122,364</w:t>
            </w:r>
          </w:p>
        </w:tc>
        <w:tc>
          <w:tcPr>
            <w:tcW w:w="1143" w:type="dxa"/>
            <w:tcBorders>
              <w:bottom w:val="double" w:sz="4" w:space="0" w:color="auto"/>
            </w:tcBorders>
            <w:noWrap/>
            <w:vAlign w:val="center"/>
            <w:hideMark/>
          </w:tcPr>
          <w:p w14:paraId="7C24CB13" w14:textId="0818D666" w:rsidR="0037412E"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6575C">
              <w:rPr>
                <w:rFonts w:cs="Calibri"/>
                <w:sz w:val="18"/>
                <w:szCs w:val="18"/>
              </w:rPr>
              <w:t>(3,564,031)</w:t>
            </w:r>
          </w:p>
        </w:tc>
        <w:tc>
          <w:tcPr>
            <w:tcW w:w="1132" w:type="dxa"/>
            <w:tcBorders>
              <w:bottom w:val="double" w:sz="4" w:space="0" w:color="auto"/>
            </w:tcBorders>
            <w:noWrap/>
            <w:vAlign w:val="center"/>
            <w:hideMark/>
          </w:tcPr>
          <w:p w14:paraId="2A8F91BD" w14:textId="77777777" w:rsidR="0037412E" w:rsidRPr="00ED12C5" w:rsidRDefault="0037412E" w:rsidP="00EB3246">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en-GB"/>
              </w:rPr>
            </w:pPr>
            <w:r w:rsidRPr="00ED12C5">
              <w:rPr>
                <w:rFonts w:eastAsia="Times New Roman" w:cs="Calibri"/>
                <w:sz w:val="18"/>
                <w:szCs w:val="18"/>
                <w:lang w:eastAsia="en-GB"/>
              </w:rPr>
              <w:t>-</w:t>
            </w:r>
          </w:p>
        </w:tc>
        <w:tc>
          <w:tcPr>
            <w:tcW w:w="1147" w:type="dxa"/>
            <w:tcBorders>
              <w:bottom w:val="double" w:sz="4" w:space="0" w:color="auto"/>
            </w:tcBorders>
            <w:noWrap/>
            <w:vAlign w:val="center"/>
            <w:hideMark/>
          </w:tcPr>
          <w:p w14:paraId="60D6C09F" w14:textId="7C9D3207" w:rsidR="0037412E" w:rsidRPr="00ED12C5" w:rsidRDefault="00A6575C" w:rsidP="00A6575C">
            <w:pPr>
              <w:widowControl/>
              <w:autoSpaceDE/>
              <w:autoSpaceDN/>
              <w:jc w:val="right"/>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6575C">
              <w:rPr>
                <w:rFonts w:cs="Calibri"/>
                <w:sz w:val="18"/>
                <w:szCs w:val="18"/>
              </w:rPr>
              <w:t>2,224,687</w:t>
            </w:r>
          </w:p>
        </w:tc>
      </w:tr>
    </w:tbl>
    <w:p w14:paraId="403EDF26" w14:textId="47037F22" w:rsidR="0037412E" w:rsidRPr="00A6575C" w:rsidRDefault="0037412E" w:rsidP="00C87723">
      <w:pPr>
        <w:pStyle w:val="TableParagraph"/>
        <w:rPr>
          <w:b/>
          <w:bCs/>
          <w:szCs w:val="18"/>
        </w:rPr>
      </w:pPr>
    </w:p>
    <w:p w14:paraId="0BF2972A" w14:textId="77777777" w:rsidR="003F3556" w:rsidRDefault="003F3556" w:rsidP="00A6575C">
      <w:pPr>
        <w:pStyle w:val="TableParagraph"/>
        <w:rPr>
          <w:b/>
          <w:bCs/>
        </w:rPr>
      </w:pPr>
    </w:p>
    <w:p w14:paraId="1532902B" w14:textId="77777777" w:rsidR="00A63F41" w:rsidRDefault="00A63F41" w:rsidP="00A63F41">
      <w:pPr>
        <w:pStyle w:val="Heading3"/>
      </w:pPr>
    </w:p>
    <w:p w14:paraId="32F04176" w14:textId="77777777" w:rsidR="00A63F41" w:rsidRDefault="00A63F41" w:rsidP="00A63F41">
      <w:pPr>
        <w:pStyle w:val="Heading3"/>
      </w:pPr>
    </w:p>
    <w:p w14:paraId="2997278F" w14:textId="77777777" w:rsidR="00A63F41" w:rsidRDefault="00A63F41">
      <w:pPr>
        <w:widowControl/>
        <w:autoSpaceDE/>
        <w:autoSpaceDN/>
        <w:rPr>
          <w:rFonts w:eastAsiaTheme="majorEastAsia" w:cstheme="majorBidi"/>
          <w:b/>
          <w:color w:val="212A57"/>
          <w:sz w:val="28"/>
          <w:szCs w:val="28"/>
        </w:rPr>
      </w:pPr>
      <w:r>
        <w:br w:type="page"/>
      </w:r>
    </w:p>
    <w:p w14:paraId="707A9AF2" w14:textId="154595F9" w:rsidR="00C74404" w:rsidRPr="00A63F41" w:rsidRDefault="00C74404" w:rsidP="00A63F41">
      <w:pPr>
        <w:pStyle w:val="Heading3"/>
      </w:pPr>
      <w:r w:rsidRPr="00A63F41">
        <w:lastRenderedPageBreak/>
        <w:t xml:space="preserve">Purposes of restricted funds  </w:t>
      </w:r>
    </w:p>
    <w:p w14:paraId="2A972A6E" w14:textId="77777777" w:rsidR="00C74404" w:rsidRPr="00A63F41" w:rsidRDefault="00C74404" w:rsidP="003F3556">
      <w:pPr>
        <w:pStyle w:val="BodyText"/>
        <w:rPr>
          <w:b/>
          <w:bCs/>
        </w:rPr>
      </w:pPr>
      <w:r w:rsidRPr="00A63F41">
        <w:rPr>
          <w:b/>
          <w:bCs/>
        </w:rPr>
        <w:t xml:space="preserve">2020/21 </w:t>
      </w:r>
    </w:p>
    <w:p w14:paraId="044382D3" w14:textId="77777777" w:rsidR="00C74404" w:rsidRPr="00C74404" w:rsidRDefault="00C74404" w:rsidP="003F3556">
      <w:pPr>
        <w:pStyle w:val="BodyText"/>
      </w:pPr>
      <w:r w:rsidRPr="00C74404">
        <w:t xml:space="preserve">Centenary Appeal - For our Centenary Appeal, funding employability programmes. </w:t>
      </w:r>
    </w:p>
    <w:p w14:paraId="2CFE895B" w14:textId="77777777" w:rsidR="00C74404" w:rsidRPr="00C74404" w:rsidRDefault="00C74404" w:rsidP="003F3556">
      <w:pPr>
        <w:pStyle w:val="BodyText"/>
      </w:pPr>
      <w:proofErr w:type="spellStart"/>
      <w:r w:rsidRPr="00C74404">
        <w:t>BlindLockdownLife</w:t>
      </w:r>
      <w:proofErr w:type="spellEnd"/>
      <w:r w:rsidRPr="00C74404">
        <w:t xml:space="preserve"> - Information campaign about social isolation. </w:t>
      </w:r>
    </w:p>
    <w:p w14:paraId="3BE84472" w14:textId="77777777" w:rsidR="00C74404" w:rsidRPr="00C74404" w:rsidRDefault="00C74404" w:rsidP="003F3556">
      <w:pPr>
        <w:pStyle w:val="BodyText"/>
      </w:pPr>
      <w:r w:rsidRPr="00C74404">
        <w:t xml:space="preserve">COVID-19 Bromley Telephone Support - Assistive technology support services. </w:t>
      </w:r>
    </w:p>
    <w:p w14:paraId="5896A1D4" w14:textId="77777777" w:rsidR="00C74404" w:rsidRPr="00C74404" w:rsidRDefault="00C74404" w:rsidP="003F3556">
      <w:pPr>
        <w:pStyle w:val="BodyText"/>
      </w:pPr>
      <w:r w:rsidRPr="00C74404">
        <w:t xml:space="preserve">Vision Fund - Funding projects in our Vision Fund. </w:t>
      </w:r>
    </w:p>
    <w:p w14:paraId="25CB28BF" w14:textId="77777777" w:rsidR="00C74404" w:rsidRPr="00C74404" w:rsidRDefault="00C74404" w:rsidP="003F3556">
      <w:pPr>
        <w:pStyle w:val="BodyText"/>
      </w:pPr>
      <w:r w:rsidRPr="00C74404">
        <w:t xml:space="preserve">Employment Research - Investigation into factors contributing towards positive employment outcomes for visually impaired people. </w:t>
      </w:r>
    </w:p>
    <w:p w14:paraId="7DE6DBFC" w14:textId="77777777" w:rsidR="00C74404" w:rsidRPr="00C74404" w:rsidRDefault="00C74404" w:rsidP="003F3556">
      <w:pPr>
        <w:pStyle w:val="BodyText"/>
      </w:pPr>
      <w:r w:rsidRPr="00C74404">
        <w:t xml:space="preserve">Laptops for Grantees - Gifts in kind for specific grantees. </w:t>
      </w:r>
    </w:p>
    <w:p w14:paraId="1C924005" w14:textId="77777777" w:rsidR="00C74404" w:rsidRPr="00C74404" w:rsidRDefault="00C74404" w:rsidP="003F3556">
      <w:pPr>
        <w:pStyle w:val="BodyText"/>
      </w:pPr>
    </w:p>
    <w:p w14:paraId="31AEC1D4" w14:textId="77777777" w:rsidR="00C74404" w:rsidRPr="00A63F41" w:rsidRDefault="00C74404" w:rsidP="003F3556">
      <w:pPr>
        <w:pStyle w:val="BodyText"/>
        <w:rPr>
          <w:b/>
          <w:bCs/>
        </w:rPr>
      </w:pPr>
      <w:r w:rsidRPr="00A63F41">
        <w:rPr>
          <w:b/>
          <w:bCs/>
        </w:rPr>
        <w:t xml:space="preserve">2019/20 </w:t>
      </w:r>
    </w:p>
    <w:p w14:paraId="184EBCD5" w14:textId="77777777" w:rsidR="00C74404" w:rsidRPr="00C74404" w:rsidRDefault="00C74404" w:rsidP="003F3556">
      <w:pPr>
        <w:pStyle w:val="BodyText"/>
      </w:pPr>
      <w:r w:rsidRPr="00C74404">
        <w:t xml:space="preserve">Kingston Assoc for the Blind - Funding social and sporting activities. </w:t>
      </w:r>
    </w:p>
    <w:p w14:paraId="1FAEF08D" w14:textId="77777777" w:rsidR="00C74404" w:rsidRPr="00C74404" w:rsidRDefault="00C74404" w:rsidP="003F3556">
      <w:pPr>
        <w:pStyle w:val="BodyText"/>
      </w:pPr>
      <w:r w:rsidRPr="00C74404">
        <w:t xml:space="preserve">Mousetrap Theatre Projects - Funded two interactive theatre Envision days in the West End, supporting 30 visually impaired students between the ages of 11 – 18. </w:t>
      </w:r>
    </w:p>
    <w:p w14:paraId="154F1B68" w14:textId="77777777" w:rsidR="00C74404" w:rsidRPr="00C74404" w:rsidRDefault="00C74404" w:rsidP="003F3556">
      <w:pPr>
        <w:pStyle w:val="BodyText"/>
      </w:pPr>
      <w:r w:rsidRPr="00C74404">
        <w:t xml:space="preserve">Centenary Appeal - For our Centenary Appeal in 21/22, funding employability programmes. </w:t>
      </w:r>
    </w:p>
    <w:p w14:paraId="16DB1184" w14:textId="77777777" w:rsidR="00C74404" w:rsidRPr="00C74404" w:rsidRDefault="00C74404" w:rsidP="003F3556">
      <w:pPr>
        <w:pStyle w:val="BodyText"/>
      </w:pPr>
      <w:r w:rsidRPr="00C74404">
        <w:t xml:space="preserve">Blind in Business - Funded two Education to Employment events, delivered by Blind in Business. </w:t>
      </w:r>
    </w:p>
    <w:p w14:paraId="6D3BB949" w14:textId="77777777" w:rsidR="00C74404" w:rsidRPr="00C74404" w:rsidRDefault="00C74404" w:rsidP="003F3556">
      <w:pPr>
        <w:pStyle w:val="BodyText"/>
      </w:pPr>
      <w:r w:rsidRPr="00C74404">
        <w:t xml:space="preserve">HQ Refurbishment - Funded refurbishment at 12 Whitehorse Mews. </w:t>
      </w:r>
    </w:p>
    <w:p w14:paraId="27401889" w14:textId="77777777" w:rsidR="00C74404" w:rsidRPr="00C74404" w:rsidRDefault="00C74404" w:rsidP="003F3556">
      <w:pPr>
        <w:pStyle w:val="BodyText"/>
      </w:pPr>
      <w:r w:rsidRPr="00C74404">
        <w:t xml:space="preserve">Change Foundation - VI Rugby - Funded the development of the very first national visually impaired rugby festival. </w:t>
      </w:r>
    </w:p>
    <w:p w14:paraId="60FA12B7" w14:textId="77777777" w:rsidR="00C74404" w:rsidRPr="00C74404" w:rsidRDefault="00C74404" w:rsidP="003F3556">
      <w:pPr>
        <w:pStyle w:val="BodyText"/>
      </w:pPr>
    </w:p>
    <w:p w14:paraId="2530C66B" w14:textId="06A74033" w:rsidR="00C74404" w:rsidRPr="00A63F41" w:rsidRDefault="00C74404" w:rsidP="00A63F41">
      <w:pPr>
        <w:pStyle w:val="Heading3"/>
      </w:pPr>
      <w:r w:rsidRPr="00A63F41">
        <w:t xml:space="preserve">Purposes of designated reserves </w:t>
      </w:r>
    </w:p>
    <w:p w14:paraId="5B38C911" w14:textId="3DD52C52" w:rsidR="00C74404" w:rsidRPr="00C74404" w:rsidRDefault="00C74404" w:rsidP="003F3556">
      <w:pPr>
        <w:pStyle w:val="BodyText"/>
      </w:pPr>
      <w:r w:rsidRPr="00C74404">
        <w:t xml:space="preserve">Designated reserves are set aside by </w:t>
      </w:r>
      <w:r w:rsidR="00D82997">
        <w:t>Trustee</w:t>
      </w:r>
      <w:r w:rsidRPr="00C74404">
        <w:t xml:space="preserve">s </w:t>
      </w:r>
      <w:proofErr w:type="gramStart"/>
      <w:r w:rsidRPr="00C74404">
        <w:t>in order to</w:t>
      </w:r>
      <w:proofErr w:type="gramEnd"/>
      <w:r w:rsidRPr="00C74404">
        <w:t xml:space="preserve"> pursue specific strategic aims: </w:t>
      </w:r>
    </w:p>
    <w:p w14:paraId="0075C836" w14:textId="26D551F9" w:rsidR="00C74404" w:rsidRDefault="00C74404" w:rsidP="003F3556">
      <w:pPr>
        <w:pStyle w:val="BodyText"/>
      </w:pPr>
      <w:r w:rsidRPr="00C74404">
        <w:t>The Centenary Reserve designates a legacy gift for our Centenary Appeal. The Partner Support Reserve existed to support our former member organisations during the transition away from the membership model. The Strategic Grants Reserve has been designated to ensure we can expand our grants programme to greater prioritise achieving impact for blind and partially sighted people. The Strategic Purposes Reserve has been designated for organisational investment to help build capacity and produce benefits in the longer term.</w:t>
      </w:r>
    </w:p>
    <w:p w14:paraId="60B679B3" w14:textId="77777777" w:rsidR="00A63F41" w:rsidRPr="00C74404" w:rsidRDefault="00A63F41" w:rsidP="003F3556">
      <w:pPr>
        <w:pStyle w:val="BodyText"/>
      </w:pPr>
    </w:p>
    <w:p w14:paraId="12F039BA" w14:textId="77777777" w:rsidR="00C74404" w:rsidRDefault="00C74404" w:rsidP="00A63F41">
      <w:pPr>
        <w:pStyle w:val="ListNumber"/>
        <w:numPr>
          <w:ilvl w:val="0"/>
          <w:numId w:val="0"/>
        </w:numPr>
        <w:ind w:left="360" w:hanging="360"/>
      </w:pPr>
    </w:p>
    <w:p w14:paraId="1F2811DA" w14:textId="5367A35D" w:rsidR="00A63F41" w:rsidRDefault="00A63F41">
      <w:pPr>
        <w:widowControl/>
        <w:autoSpaceDE/>
        <w:autoSpaceDN/>
        <w:rPr>
          <w:b/>
          <w:color w:val="2F5496" w:themeColor="accent1" w:themeShade="BF"/>
          <w:sz w:val="28"/>
        </w:rPr>
      </w:pPr>
      <w:r>
        <w:br w:type="page"/>
      </w:r>
    </w:p>
    <w:p w14:paraId="49F310BC" w14:textId="77777777" w:rsidR="00A131C9" w:rsidRDefault="00A131C9" w:rsidP="00A63F41">
      <w:pPr>
        <w:pStyle w:val="ListNumber"/>
        <w:numPr>
          <w:ilvl w:val="0"/>
          <w:numId w:val="0"/>
        </w:numPr>
        <w:ind w:left="360" w:hanging="360"/>
      </w:pPr>
    </w:p>
    <w:p w14:paraId="1CB8217F" w14:textId="7B7052DE" w:rsidR="0017512E" w:rsidRDefault="00C74404" w:rsidP="00C74404">
      <w:pPr>
        <w:pStyle w:val="ListNumber"/>
      </w:pPr>
      <w:r w:rsidRPr="00C74404">
        <w:t>Operating lease commitments</w:t>
      </w:r>
    </w:p>
    <w:p w14:paraId="7069C731" w14:textId="77777777" w:rsidR="00C74404" w:rsidRDefault="00C74404" w:rsidP="00C74404">
      <w:pPr>
        <w:pStyle w:val="TableParagraph"/>
        <w:ind w:left="720"/>
      </w:pPr>
    </w:p>
    <w:p w14:paraId="64D58996" w14:textId="441EE5FC" w:rsidR="00C74404" w:rsidRDefault="00C74404" w:rsidP="00C74404">
      <w:pPr>
        <w:pStyle w:val="TableParagraph"/>
        <w:ind w:left="720"/>
      </w:pPr>
      <w:r w:rsidRPr="00C74404">
        <w:t>The group's total future minimum lease payments under non-cancellable operating leases are as follows for each of the following periods:</w:t>
      </w:r>
    </w:p>
    <w:p w14:paraId="639544C7" w14:textId="5956924F" w:rsidR="00C74404" w:rsidRDefault="00C74404" w:rsidP="00C74404">
      <w:pPr>
        <w:pStyle w:val="TableParagraph"/>
        <w:ind w:left="720"/>
      </w:pPr>
    </w:p>
    <w:tbl>
      <w:tblPr>
        <w:tblStyle w:val="PlainTable4"/>
        <w:tblW w:w="6722" w:type="dxa"/>
        <w:tblLook w:val="04A0" w:firstRow="1" w:lastRow="0" w:firstColumn="1" w:lastColumn="0" w:noHBand="0" w:noVBand="1"/>
      </w:tblPr>
      <w:tblGrid>
        <w:gridCol w:w="3522"/>
        <w:gridCol w:w="1540"/>
        <w:gridCol w:w="1660"/>
      </w:tblGrid>
      <w:tr w:rsidR="00A6575C" w:rsidRPr="00A6575C" w14:paraId="2D1A1236" w14:textId="77777777" w:rsidTr="003F355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22" w:type="dxa"/>
            <w:hideMark/>
          </w:tcPr>
          <w:p w14:paraId="3B35527E" w14:textId="77777777" w:rsidR="00A6575C" w:rsidRPr="00A6575C" w:rsidRDefault="00A6575C" w:rsidP="00A6575C">
            <w:pPr>
              <w:pStyle w:val="TableParagraph"/>
              <w:rPr>
                <w:lang w:eastAsia="en-GB"/>
              </w:rPr>
            </w:pPr>
          </w:p>
        </w:tc>
        <w:tc>
          <w:tcPr>
            <w:tcW w:w="1540" w:type="dxa"/>
            <w:vAlign w:val="center"/>
            <w:hideMark/>
          </w:tcPr>
          <w:p w14:paraId="0DD5762C" w14:textId="77777777" w:rsidR="00A6575C" w:rsidRPr="00A6575C" w:rsidRDefault="00A6575C" w:rsidP="00A6575C">
            <w:pPr>
              <w:pStyle w:val="TableParagraph"/>
              <w:jc w:val="right"/>
              <w:cnfStyle w:val="100000000000" w:firstRow="1" w:lastRow="0" w:firstColumn="0" w:lastColumn="0" w:oddVBand="0" w:evenVBand="0" w:oddHBand="0" w:evenHBand="0" w:firstRowFirstColumn="0" w:firstRowLastColumn="0" w:lastRowFirstColumn="0" w:lastRowLastColumn="0"/>
              <w:rPr>
                <w:lang w:eastAsia="en-GB"/>
              </w:rPr>
            </w:pPr>
            <w:r w:rsidRPr="00A6575C">
              <w:rPr>
                <w:lang w:eastAsia="en-GB"/>
              </w:rPr>
              <w:t>2021</w:t>
            </w:r>
          </w:p>
          <w:p w14:paraId="1AE187B6" w14:textId="512339A5" w:rsidR="00A6575C" w:rsidRPr="00A6575C" w:rsidRDefault="00A6575C" w:rsidP="00A6575C">
            <w:pPr>
              <w:pStyle w:val="TableParagraph"/>
              <w:jc w:val="right"/>
              <w:cnfStyle w:val="100000000000" w:firstRow="1" w:lastRow="0" w:firstColumn="0" w:lastColumn="0" w:oddVBand="0" w:evenVBand="0" w:oddHBand="0" w:evenHBand="0" w:firstRowFirstColumn="0" w:firstRowLastColumn="0" w:lastRowFirstColumn="0" w:lastRowLastColumn="0"/>
              <w:rPr>
                <w:rFonts w:cs="Times New Roman"/>
                <w:lang w:eastAsia="en-GB"/>
              </w:rPr>
            </w:pPr>
            <w:r w:rsidRPr="00A6575C">
              <w:rPr>
                <w:lang w:eastAsia="en-GB"/>
              </w:rPr>
              <w:t>£</w:t>
            </w:r>
          </w:p>
        </w:tc>
        <w:tc>
          <w:tcPr>
            <w:tcW w:w="1660" w:type="dxa"/>
            <w:vAlign w:val="center"/>
            <w:hideMark/>
          </w:tcPr>
          <w:p w14:paraId="07D8730B" w14:textId="77777777" w:rsidR="00A6575C" w:rsidRPr="00A6575C" w:rsidRDefault="00A6575C" w:rsidP="00A6575C">
            <w:pPr>
              <w:pStyle w:val="TableParagraph"/>
              <w:jc w:val="right"/>
              <w:cnfStyle w:val="100000000000" w:firstRow="1" w:lastRow="0" w:firstColumn="0" w:lastColumn="0" w:oddVBand="0" w:evenVBand="0" w:oddHBand="0" w:evenHBand="0" w:firstRowFirstColumn="0" w:firstRowLastColumn="0" w:lastRowFirstColumn="0" w:lastRowLastColumn="0"/>
              <w:rPr>
                <w:b w:val="0"/>
                <w:bCs w:val="0"/>
                <w:lang w:eastAsia="en-GB"/>
              </w:rPr>
            </w:pPr>
            <w:r w:rsidRPr="00A6575C">
              <w:rPr>
                <w:b w:val="0"/>
                <w:bCs w:val="0"/>
                <w:lang w:eastAsia="en-GB"/>
              </w:rPr>
              <w:t>2020</w:t>
            </w:r>
          </w:p>
          <w:p w14:paraId="3E6B1539" w14:textId="15C21622" w:rsidR="00A6575C" w:rsidRPr="00A6575C" w:rsidRDefault="00A6575C" w:rsidP="00A6575C">
            <w:pPr>
              <w:pStyle w:val="TableParagraph"/>
              <w:jc w:val="right"/>
              <w:cnfStyle w:val="100000000000" w:firstRow="1" w:lastRow="0" w:firstColumn="0" w:lastColumn="0" w:oddVBand="0" w:evenVBand="0" w:oddHBand="0" w:evenHBand="0" w:firstRowFirstColumn="0" w:firstRowLastColumn="0" w:lastRowFirstColumn="0" w:lastRowLastColumn="0"/>
              <w:rPr>
                <w:rFonts w:cs="Times New Roman"/>
                <w:lang w:eastAsia="en-GB"/>
              </w:rPr>
            </w:pPr>
            <w:r w:rsidRPr="00A6575C">
              <w:rPr>
                <w:b w:val="0"/>
                <w:bCs w:val="0"/>
                <w:lang w:eastAsia="en-GB"/>
              </w:rPr>
              <w:t>£</w:t>
            </w:r>
          </w:p>
        </w:tc>
      </w:tr>
      <w:tr w:rsidR="00A6575C" w:rsidRPr="00A6575C" w14:paraId="40C76018"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22" w:type="dxa"/>
            <w:vAlign w:val="center"/>
            <w:hideMark/>
          </w:tcPr>
          <w:p w14:paraId="5C3967AC" w14:textId="77777777" w:rsidR="00A6575C" w:rsidRPr="00A6575C" w:rsidRDefault="00A6575C" w:rsidP="00A6575C">
            <w:pPr>
              <w:pStyle w:val="TableParagraph"/>
              <w:rPr>
                <w:b w:val="0"/>
                <w:bCs w:val="0"/>
                <w:lang w:eastAsia="en-GB"/>
              </w:rPr>
            </w:pPr>
            <w:r w:rsidRPr="00A6575C">
              <w:rPr>
                <w:b w:val="0"/>
                <w:bCs w:val="0"/>
                <w:lang w:eastAsia="en-GB"/>
              </w:rPr>
              <w:t>Less than one year</w:t>
            </w:r>
          </w:p>
        </w:tc>
        <w:tc>
          <w:tcPr>
            <w:tcW w:w="1540" w:type="dxa"/>
            <w:noWrap/>
            <w:vAlign w:val="center"/>
            <w:hideMark/>
          </w:tcPr>
          <w:p w14:paraId="07BCD1D3" w14:textId="77777777" w:rsidR="00A6575C" w:rsidRPr="00A6575C" w:rsidRDefault="00A6575C" w:rsidP="00A6575C">
            <w:pPr>
              <w:pStyle w:val="TableParagraph"/>
              <w:jc w:val="right"/>
              <w:cnfStyle w:val="000000100000" w:firstRow="0" w:lastRow="0" w:firstColumn="0" w:lastColumn="0" w:oddVBand="0" w:evenVBand="0" w:oddHBand="1" w:evenHBand="0" w:firstRowFirstColumn="0" w:firstRowLastColumn="0" w:lastRowFirstColumn="0" w:lastRowLastColumn="0"/>
              <w:rPr>
                <w:b/>
                <w:bCs/>
                <w:lang w:eastAsia="en-GB"/>
              </w:rPr>
            </w:pPr>
            <w:r w:rsidRPr="00A6575C">
              <w:rPr>
                <w:b/>
                <w:bCs/>
                <w:lang w:eastAsia="en-GB"/>
              </w:rPr>
              <w:t>242,325</w:t>
            </w:r>
          </w:p>
        </w:tc>
        <w:tc>
          <w:tcPr>
            <w:tcW w:w="1660" w:type="dxa"/>
            <w:noWrap/>
            <w:vAlign w:val="center"/>
            <w:hideMark/>
          </w:tcPr>
          <w:p w14:paraId="76F8C5C0" w14:textId="77777777" w:rsidR="00A6575C" w:rsidRPr="00A6575C" w:rsidRDefault="00A6575C" w:rsidP="00A6575C">
            <w:pPr>
              <w:pStyle w:val="TableParagraph"/>
              <w:jc w:val="right"/>
              <w:cnfStyle w:val="000000100000" w:firstRow="0" w:lastRow="0" w:firstColumn="0" w:lastColumn="0" w:oddVBand="0" w:evenVBand="0" w:oddHBand="1" w:evenHBand="0" w:firstRowFirstColumn="0" w:firstRowLastColumn="0" w:lastRowFirstColumn="0" w:lastRowLastColumn="0"/>
              <w:rPr>
                <w:lang w:eastAsia="en-GB"/>
              </w:rPr>
            </w:pPr>
            <w:r w:rsidRPr="00A6575C">
              <w:rPr>
                <w:lang w:eastAsia="en-GB"/>
              </w:rPr>
              <w:t>263,622</w:t>
            </w:r>
          </w:p>
        </w:tc>
      </w:tr>
      <w:tr w:rsidR="00A6575C" w:rsidRPr="00A6575C" w14:paraId="7AE53A82"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522" w:type="dxa"/>
            <w:vAlign w:val="center"/>
            <w:hideMark/>
          </w:tcPr>
          <w:p w14:paraId="3BBE509C" w14:textId="77777777" w:rsidR="00A6575C" w:rsidRPr="00A6575C" w:rsidRDefault="00A6575C" w:rsidP="00A6575C">
            <w:pPr>
              <w:pStyle w:val="TableParagraph"/>
              <w:rPr>
                <w:b w:val="0"/>
                <w:bCs w:val="0"/>
                <w:lang w:eastAsia="en-GB"/>
              </w:rPr>
            </w:pPr>
            <w:r w:rsidRPr="00A6575C">
              <w:rPr>
                <w:b w:val="0"/>
                <w:bCs w:val="0"/>
                <w:lang w:eastAsia="en-GB"/>
              </w:rPr>
              <w:t>One to five years</w:t>
            </w:r>
          </w:p>
        </w:tc>
        <w:tc>
          <w:tcPr>
            <w:tcW w:w="1540" w:type="dxa"/>
            <w:noWrap/>
            <w:vAlign w:val="center"/>
            <w:hideMark/>
          </w:tcPr>
          <w:p w14:paraId="4349EEB5" w14:textId="77777777" w:rsidR="00A6575C" w:rsidRPr="00A6575C" w:rsidRDefault="00A6575C" w:rsidP="00A6575C">
            <w:pPr>
              <w:pStyle w:val="TableParagraph"/>
              <w:jc w:val="right"/>
              <w:cnfStyle w:val="000000000000" w:firstRow="0" w:lastRow="0" w:firstColumn="0" w:lastColumn="0" w:oddVBand="0" w:evenVBand="0" w:oddHBand="0" w:evenHBand="0" w:firstRowFirstColumn="0" w:firstRowLastColumn="0" w:lastRowFirstColumn="0" w:lastRowLastColumn="0"/>
              <w:rPr>
                <w:b/>
                <w:bCs/>
                <w:lang w:eastAsia="en-GB"/>
              </w:rPr>
            </w:pPr>
            <w:r w:rsidRPr="00A6575C">
              <w:rPr>
                <w:b/>
                <w:bCs/>
                <w:lang w:eastAsia="en-GB"/>
              </w:rPr>
              <w:t>711,065</w:t>
            </w:r>
          </w:p>
        </w:tc>
        <w:tc>
          <w:tcPr>
            <w:tcW w:w="1660" w:type="dxa"/>
            <w:noWrap/>
            <w:vAlign w:val="center"/>
            <w:hideMark/>
          </w:tcPr>
          <w:p w14:paraId="626C96E2" w14:textId="77777777" w:rsidR="00A6575C" w:rsidRPr="00A6575C" w:rsidRDefault="00A6575C" w:rsidP="00A6575C">
            <w:pPr>
              <w:pStyle w:val="TableParagraph"/>
              <w:jc w:val="right"/>
              <w:cnfStyle w:val="000000000000" w:firstRow="0" w:lastRow="0" w:firstColumn="0" w:lastColumn="0" w:oddVBand="0" w:evenVBand="0" w:oddHBand="0" w:evenHBand="0" w:firstRowFirstColumn="0" w:firstRowLastColumn="0" w:lastRowFirstColumn="0" w:lastRowLastColumn="0"/>
              <w:rPr>
                <w:lang w:eastAsia="en-GB"/>
              </w:rPr>
            </w:pPr>
            <w:r w:rsidRPr="00A6575C">
              <w:rPr>
                <w:lang w:eastAsia="en-GB"/>
              </w:rPr>
              <w:t>874,676</w:t>
            </w:r>
          </w:p>
        </w:tc>
      </w:tr>
      <w:tr w:rsidR="00A6575C" w:rsidRPr="00A6575C" w14:paraId="5FDB14EE"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22" w:type="dxa"/>
            <w:vAlign w:val="center"/>
            <w:hideMark/>
          </w:tcPr>
          <w:p w14:paraId="47028855" w14:textId="77777777" w:rsidR="00A6575C" w:rsidRPr="00A6575C" w:rsidRDefault="00A6575C" w:rsidP="00A6575C">
            <w:pPr>
              <w:pStyle w:val="TableParagraph"/>
              <w:rPr>
                <w:b w:val="0"/>
                <w:bCs w:val="0"/>
                <w:lang w:eastAsia="en-GB"/>
              </w:rPr>
            </w:pPr>
            <w:r w:rsidRPr="00A6575C">
              <w:rPr>
                <w:b w:val="0"/>
                <w:bCs w:val="0"/>
                <w:lang w:eastAsia="en-GB"/>
              </w:rPr>
              <w:t>Over five years</w:t>
            </w:r>
          </w:p>
        </w:tc>
        <w:tc>
          <w:tcPr>
            <w:tcW w:w="1540" w:type="dxa"/>
            <w:noWrap/>
            <w:vAlign w:val="center"/>
            <w:hideMark/>
          </w:tcPr>
          <w:p w14:paraId="16EEF304" w14:textId="77777777" w:rsidR="00A6575C" w:rsidRPr="00A6575C" w:rsidRDefault="00A6575C" w:rsidP="00A6575C">
            <w:pPr>
              <w:pStyle w:val="TableParagraph"/>
              <w:jc w:val="right"/>
              <w:cnfStyle w:val="000000100000" w:firstRow="0" w:lastRow="0" w:firstColumn="0" w:lastColumn="0" w:oddVBand="0" w:evenVBand="0" w:oddHBand="1" w:evenHBand="0" w:firstRowFirstColumn="0" w:firstRowLastColumn="0" w:lastRowFirstColumn="0" w:lastRowLastColumn="0"/>
              <w:rPr>
                <w:b/>
                <w:bCs/>
                <w:lang w:eastAsia="en-GB"/>
              </w:rPr>
            </w:pPr>
            <w:r w:rsidRPr="00A6575C">
              <w:rPr>
                <w:b/>
                <w:bCs/>
                <w:lang w:eastAsia="en-GB"/>
              </w:rPr>
              <w:t>427,416</w:t>
            </w:r>
          </w:p>
        </w:tc>
        <w:tc>
          <w:tcPr>
            <w:tcW w:w="1660" w:type="dxa"/>
            <w:noWrap/>
            <w:vAlign w:val="center"/>
            <w:hideMark/>
          </w:tcPr>
          <w:p w14:paraId="2187552B" w14:textId="77777777" w:rsidR="00A6575C" w:rsidRPr="00A6575C" w:rsidRDefault="00A6575C" w:rsidP="00A6575C">
            <w:pPr>
              <w:pStyle w:val="TableParagraph"/>
              <w:jc w:val="right"/>
              <w:cnfStyle w:val="000000100000" w:firstRow="0" w:lastRow="0" w:firstColumn="0" w:lastColumn="0" w:oddVBand="0" w:evenVBand="0" w:oddHBand="1" w:evenHBand="0" w:firstRowFirstColumn="0" w:firstRowLastColumn="0" w:lastRowFirstColumn="0" w:lastRowLastColumn="0"/>
              <w:rPr>
                <w:lang w:eastAsia="en-GB"/>
              </w:rPr>
            </w:pPr>
            <w:r w:rsidRPr="00A6575C">
              <w:rPr>
                <w:lang w:eastAsia="en-GB"/>
              </w:rPr>
              <w:t>521,934</w:t>
            </w:r>
          </w:p>
        </w:tc>
      </w:tr>
      <w:tr w:rsidR="00A6575C" w:rsidRPr="00A6575C" w14:paraId="08177D83" w14:textId="77777777" w:rsidTr="003F3556">
        <w:trPr>
          <w:trHeight w:val="340"/>
        </w:trPr>
        <w:tc>
          <w:tcPr>
            <w:cnfStyle w:val="001000000000" w:firstRow="0" w:lastRow="0" w:firstColumn="1" w:lastColumn="0" w:oddVBand="0" w:evenVBand="0" w:oddHBand="0" w:evenHBand="0" w:firstRowFirstColumn="0" w:firstRowLastColumn="0" w:lastRowFirstColumn="0" w:lastRowLastColumn="0"/>
            <w:tcW w:w="3522" w:type="dxa"/>
            <w:vAlign w:val="center"/>
            <w:hideMark/>
          </w:tcPr>
          <w:p w14:paraId="72BEE525" w14:textId="77777777" w:rsidR="00A6575C" w:rsidRPr="00A6575C" w:rsidRDefault="00A6575C" w:rsidP="00A6575C">
            <w:pPr>
              <w:pStyle w:val="TableParagraph"/>
              <w:rPr>
                <w:lang w:eastAsia="en-GB"/>
              </w:rPr>
            </w:pPr>
          </w:p>
        </w:tc>
        <w:tc>
          <w:tcPr>
            <w:tcW w:w="1540" w:type="dxa"/>
            <w:tcBorders>
              <w:bottom w:val="single" w:sz="4" w:space="0" w:color="auto"/>
            </w:tcBorders>
            <w:noWrap/>
            <w:vAlign w:val="center"/>
            <w:hideMark/>
          </w:tcPr>
          <w:p w14:paraId="4C865041" w14:textId="77777777" w:rsidR="00A6575C" w:rsidRPr="00A6575C" w:rsidRDefault="00A6575C" w:rsidP="00A6575C">
            <w:pPr>
              <w:pStyle w:val="TableParagraph"/>
              <w:jc w:val="right"/>
              <w:cnfStyle w:val="000000000000" w:firstRow="0" w:lastRow="0" w:firstColumn="0" w:lastColumn="0" w:oddVBand="0" w:evenVBand="0" w:oddHBand="0" w:evenHBand="0" w:firstRowFirstColumn="0" w:firstRowLastColumn="0" w:lastRowFirstColumn="0" w:lastRowLastColumn="0"/>
              <w:rPr>
                <w:lang w:eastAsia="en-GB"/>
              </w:rPr>
            </w:pPr>
            <w:r w:rsidRPr="00A6575C">
              <w:rPr>
                <w:lang w:eastAsia="en-GB"/>
              </w:rPr>
              <w:t> </w:t>
            </w:r>
          </w:p>
        </w:tc>
        <w:tc>
          <w:tcPr>
            <w:tcW w:w="1660" w:type="dxa"/>
            <w:tcBorders>
              <w:bottom w:val="single" w:sz="4" w:space="0" w:color="auto"/>
            </w:tcBorders>
            <w:noWrap/>
            <w:vAlign w:val="center"/>
            <w:hideMark/>
          </w:tcPr>
          <w:p w14:paraId="3E135E5A" w14:textId="77777777" w:rsidR="00A6575C" w:rsidRPr="00A6575C" w:rsidRDefault="00A6575C" w:rsidP="00A6575C">
            <w:pPr>
              <w:pStyle w:val="TableParagraph"/>
              <w:jc w:val="right"/>
              <w:cnfStyle w:val="000000000000" w:firstRow="0" w:lastRow="0" w:firstColumn="0" w:lastColumn="0" w:oddVBand="0" w:evenVBand="0" w:oddHBand="0" w:evenHBand="0" w:firstRowFirstColumn="0" w:firstRowLastColumn="0" w:lastRowFirstColumn="0" w:lastRowLastColumn="0"/>
              <w:rPr>
                <w:lang w:eastAsia="en-GB"/>
              </w:rPr>
            </w:pPr>
            <w:r w:rsidRPr="00A6575C">
              <w:rPr>
                <w:lang w:eastAsia="en-GB"/>
              </w:rPr>
              <w:t> </w:t>
            </w:r>
          </w:p>
        </w:tc>
      </w:tr>
      <w:tr w:rsidR="00A6575C" w:rsidRPr="00A6575C" w14:paraId="70DC79D4" w14:textId="77777777" w:rsidTr="003F355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22" w:type="dxa"/>
            <w:vAlign w:val="center"/>
            <w:hideMark/>
          </w:tcPr>
          <w:p w14:paraId="07B90BC5" w14:textId="77777777" w:rsidR="00A6575C" w:rsidRPr="00A6575C" w:rsidRDefault="00A6575C" w:rsidP="00A6575C">
            <w:pPr>
              <w:pStyle w:val="TableParagraph"/>
              <w:rPr>
                <w:rFonts w:cs="Times New Roman"/>
                <w:lang w:eastAsia="en-GB"/>
              </w:rPr>
            </w:pPr>
          </w:p>
        </w:tc>
        <w:tc>
          <w:tcPr>
            <w:tcW w:w="1540" w:type="dxa"/>
            <w:tcBorders>
              <w:top w:val="single" w:sz="4" w:space="0" w:color="auto"/>
              <w:bottom w:val="double" w:sz="4" w:space="0" w:color="auto"/>
            </w:tcBorders>
            <w:noWrap/>
            <w:vAlign w:val="center"/>
            <w:hideMark/>
          </w:tcPr>
          <w:p w14:paraId="0099187E" w14:textId="77777777" w:rsidR="00A6575C" w:rsidRPr="00A6575C" w:rsidRDefault="00A6575C" w:rsidP="00A6575C">
            <w:pPr>
              <w:pStyle w:val="TableParagraph"/>
              <w:jc w:val="right"/>
              <w:cnfStyle w:val="000000100000" w:firstRow="0" w:lastRow="0" w:firstColumn="0" w:lastColumn="0" w:oddVBand="0" w:evenVBand="0" w:oddHBand="1" w:evenHBand="0" w:firstRowFirstColumn="0" w:firstRowLastColumn="0" w:lastRowFirstColumn="0" w:lastRowLastColumn="0"/>
              <w:rPr>
                <w:b/>
                <w:bCs/>
                <w:lang w:eastAsia="en-GB"/>
              </w:rPr>
            </w:pPr>
            <w:r w:rsidRPr="00A6575C">
              <w:rPr>
                <w:b/>
                <w:bCs/>
                <w:lang w:eastAsia="en-GB"/>
              </w:rPr>
              <w:t>1,380,807</w:t>
            </w:r>
          </w:p>
        </w:tc>
        <w:tc>
          <w:tcPr>
            <w:tcW w:w="1660" w:type="dxa"/>
            <w:tcBorders>
              <w:top w:val="single" w:sz="4" w:space="0" w:color="auto"/>
              <w:bottom w:val="double" w:sz="4" w:space="0" w:color="auto"/>
            </w:tcBorders>
            <w:noWrap/>
            <w:vAlign w:val="center"/>
            <w:hideMark/>
          </w:tcPr>
          <w:p w14:paraId="0DFAFD84" w14:textId="77777777" w:rsidR="00A6575C" w:rsidRPr="00A6575C" w:rsidRDefault="00A6575C" w:rsidP="00A6575C">
            <w:pPr>
              <w:pStyle w:val="TableParagraph"/>
              <w:jc w:val="right"/>
              <w:cnfStyle w:val="000000100000" w:firstRow="0" w:lastRow="0" w:firstColumn="0" w:lastColumn="0" w:oddVBand="0" w:evenVBand="0" w:oddHBand="1" w:evenHBand="0" w:firstRowFirstColumn="0" w:firstRowLastColumn="0" w:lastRowFirstColumn="0" w:lastRowLastColumn="0"/>
              <w:rPr>
                <w:lang w:eastAsia="en-GB"/>
              </w:rPr>
            </w:pPr>
            <w:r w:rsidRPr="00A6575C">
              <w:rPr>
                <w:lang w:eastAsia="en-GB"/>
              </w:rPr>
              <w:t>1,660,232</w:t>
            </w:r>
          </w:p>
        </w:tc>
      </w:tr>
    </w:tbl>
    <w:p w14:paraId="6937B9DD" w14:textId="19E232F9" w:rsidR="00A6575C" w:rsidRDefault="00A6575C" w:rsidP="00C74404">
      <w:pPr>
        <w:pStyle w:val="TableParagraph"/>
        <w:ind w:left="720"/>
      </w:pPr>
    </w:p>
    <w:p w14:paraId="15CA2C36" w14:textId="080EDE79" w:rsidR="00A6575C" w:rsidRDefault="00A6575C" w:rsidP="00C74404">
      <w:pPr>
        <w:pStyle w:val="TableParagraph"/>
        <w:ind w:left="720"/>
      </w:pPr>
    </w:p>
    <w:p w14:paraId="3D798D0B" w14:textId="77777777" w:rsidR="00A6575C" w:rsidRDefault="00A6575C" w:rsidP="00C74404">
      <w:pPr>
        <w:pStyle w:val="TableParagraph"/>
        <w:ind w:left="720"/>
      </w:pPr>
    </w:p>
    <w:p w14:paraId="72D03C59" w14:textId="77777777" w:rsidR="00C74404" w:rsidRPr="00C74404" w:rsidRDefault="00C74404" w:rsidP="00C74404">
      <w:pPr>
        <w:pStyle w:val="TableParagraph"/>
        <w:ind w:left="720"/>
      </w:pPr>
    </w:p>
    <w:p w14:paraId="23A898DE" w14:textId="5AF42C9B" w:rsidR="00C74404" w:rsidRDefault="00C74404">
      <w:pPr>
        <w:pStyle w:val="ListNumber"/>
      </w:pPr>
      <w:r w:rsidRPr="00C74404">
        <w:t>Post balance sheet events</w:t>
      </w:r>
    </w:p>
    <w:p w14:paraId="46BBFA40" w14:textId="77777777" w:rsidR="00C74404" w:rsidRDefault="00C74404" w:rsidP="00C74404">
      <w:pPr>
        <w:pStyle w:val="TableParagraph"/>
        <w:ind w:left="720"/>
      </w:pPr>
    </w:p>
    <w:p w14:paraId="4E483840" w14:textId="250B8A0E" w:rsidR="00C74404" w:rsidRPr="00C74404" w:rsidRDefault="00C74404" w:rsidP="00C74404">
      <w:pPr>
        <w:pStyle w:val="TableParagraph"/>
        <w:ind w:left="720"/>
      </w:pPr>
      <w:r w:rsidRPr="00C74404">
        <w:t xml:space="preserve">There are two notable non-adjusting events following the end of financial year. </w:t>
      </w:r>
    </w:p>
    <w:p w14:paraId="5DBFD206" w14:textId="6DDBD19C" w:rsidR="00C74404" w:rsidRDefault="00C74404" w:rsidP="00882D2F">
      <w:pPr>
        <w:pStyle w:val="TableParagraph"/>
        <w:numPr>
          <w:ilvl w:val="0"/>
          <w:numId w:val="9"/>
        </w:numPr>
      </w:pPr>
      <w:r w:rsidRPr="00C74404">
        <w:t xml:space="preserve">The charity </w:t>
      </w:r>
      <w:r w:rsidR="00D82997">
        <w:t>Trustee</w:t>
      </w:r>
      <w:r w:rsidRPr="00C74404">
        <w:t xml:space="preserve">s have agreed to transfer the retail activities currently operating under the subsidiary GLF Charitable Purposes Trading Company into Vision Foundation. This is intended to occur within the financial year 2021/22. </w:t>
      </w:r>
    </w:p>
    <w:p w14:paraId="64601F35" w14:textId="2DC79C31" w:rsidR="00C74404" w:rsidRPr="00C74404" w:rsidRDefault="00C74404" w:rsidP="00882D2F">
      <w:pPr>
        <w:pStyle w:val="TableParagraph"/>
        <w:numPr>
          <w:ilvl w:val="0"/>
          <w:numId w:val="9"/>
        </w:numPr>
      </w:pPr>
      <w:r w:rsidRPr="00C74404">
        <w:t>In June 2021, the charity sold a painting that had been left in a legacy for the equivalent of £160,000.</w:t>
      </w:r>
    </w:p>
    <w:p w14:paraId="0BECB9D3" w14:textId="13A19BD0" w:rsidR="00C74404" w:rsidRDefault="00C74404" w:rsidP="00C74404">
      <w:pPr>
        <w:pStyle w:val="ListNumber"/>
        <w:numPr>
          <w:ilvl w:val="0"/>
          <w:numId w:val="0"/>
        </w:numPr>
        <w:ind w:left="360" w:hanging="360"/>
      </w:pPr>
    </w:p>
    <w:p w14:paraId="39E32AF8" w14:textId="77777777" w:rsidR="00C74404" w:rsidRDefault="00C74404" w:rsidP="00C74404">
      <w:pPr>
        <w:pStyle w:val="ListNumber"/>
        <w:numPr>
          <w:ilvl w:val="0"/>
          <w:numId w:val="0"/>
        </w:numPr>
        <w:ind w:left="360" w:hanging="360"/>
      </w:pPr>
    </w:p>
    <w:p w14:paraId="58BEB091" w14:textId="2B8C7989" w:rsidR="00C74404" w:rsidRDefault="00C74404">
      <w:pPr>
        <w:pStyle w:val="ListNumber"/>
      </w:pPr>
      <w:r w:rsidRPr="00C74404">
        <w:t>Legal status of the charity</w:t>
      </w:r>
    </w:p>
    <w:p w14:paraId="1EDBB2E2" w14:textId="77777777" w:rsidR="00C74404" w:rsidRDefault="00C74404" w:rsidP="00C74404">
      <w:pPr>
        <w:pStyle w:val="TableParagraph"/>
        <w:ind w:left="720"/>
      </w:pPr>
    </w:p>
    <w:p w14:paraId="471F4646" w14:textId="749DDE3A" w:rsidR="00C74404" w:rsidRDefault="00C74404" w:rsidP="00C74404">
      <w:pPr>
        <w:pStyle w:val="TableParagraph"/>
        <w:ind w:left="720"/>
      </w:pPr>
      <w:r w:rsidRPr="00C74404">
        <w:t>The charity is a company limited by guarantee and has no share capital.  The liability of each member in the event of winding up is limited to £1.</w:t>
      </w:r>
      <w:r w:rsidR="00A131C9">
        <w:softHyphen/>
      </w:r>
    </w:p>
    <w:p w14:paraId="67634B35" w14:textId="67491F12" w:rsidR="003F3556" w:rsidRDefault="003F3556" w:rsidP="00C74404">
      <w:pPr>
        <w:pStyle w:val="TableParagraph"/>
        <w:ind w:left="720"/>
      </w:pPr>
    </w:p>
    <w:p w14:paraId="7B39E82D" w14:textId="778D031A" w:rsidR="003F3556" w:rsidRDefault="003F3556" w:rsidP="00C74404">
      <w:pPr>
        <w:pStyle w:val="TableParagraph"/>
        <w:ind w:left="720"/>
      </w:pPr>
    </w:p>
    <w:p w14:paraId="77BCE6EA" w14:textId="24F3A38F" w:rsidR="003F3556" w:rsidRDefault="003F3556" w:rsidP="00C74404">
      <w:pPr>
        <w:pStyle w:val="TableParagraph"/>
        <w:ind w:left="720"/>
      </w:pPr>
    </w:p>
    <w:p w14:paraId="31D664DD" w14:textId="08E849CE" w:rsidR="003F3556" w:rsidRDefault="003F3556">
      <w:pPr>
        <w:widowControl/>
        <w:autoSpaceDE/>
        <w:autoSpaceDN/>
        <w:rPr>
          <w:rFonts w:eastAsia="Lucida Sans Unicode" w:cs="Lucida Sans Unicode"/>
          <w:sz w:val="18"/>
        </w:rPr>
      </w:pPr>
      <w:r>
        <w:br w:type="page"/>
      </w:r>
    </w:p>
    <w:p w14:paraId="56E674D9" w14:textId="6F125D05" w:rsidR="003F3556" w:rsidRPr="003F3556" w:rsidRDefault="003F3556" w:rsidP="003F3556">
      <w:pPr>
        <w:pStyle w:val="Heading2"/>
      </w:pPr>
      <w:r w:rsidRPr="003F3556">
        <w:lastRenderedPageBreak/>
        <w:t>Thank you</w:t>
      </w:r>
    </w:p>
    <w:p w14:paraId="2E8771CB" w14:textId="77777777" w:rsidR="003F3556" w:rsidRDefault="003F3556" w:rsidP="003F3556">
      <w:pPr>
        <w:pStyle w:val="TableParagraph"/>
        <w:ind w:left="720"/>
      </w:pPr>
    </w:p>
    <w:p w14:paraId="1A3825C7" w14:textId="55E8969A" w:rsidR="003F3556" w:rsidRPr="00A63F41" w:rsidRDefault="003F3556" w:rsidP="00A63F41">
      <w:pPr>
        <w:pStyle w:val="BodyText"/>
      </w:pPr>
      <w:r w:rsidRPr="00A63F41">
        <w:t>We would like to thank the following partners and supporters who have contributed significantly to our achievements this year through donations, pro bono support, or gifts in kind. We cannot thank you enough for your support:</w:t>
      </w:r>
    </w:p>
    <w:p w14:paraId="3C475089" w14:textId="77777777" w:rsidR="00A63F41" w:rsidRDefault="00A63F41" w:rsidP="00A63F41">
      <w:pPr>
        <w:pStyle w:val="BodyText"/>
        <w:sectPr w:rsidR="00A63F41" w:rsidSect="00015F7B">
          <w:type w:val="continuous"/>
          <w:pgSz w:w="11900" w:h="16840"/>
          <w:pgMar w:top="1132" w:right="1440" w:bottom="1440" w:left="1440" w:header="708" w:footer="708" w:gutter="0"/>
          <w:cols w:space="708"/>
          <w:docGrid w:linePitch="360"/>
        </w:sectPr>
      </w:pPr>
    </w:p>
    <w:p w14:paraId="770E157C" w14:textId="77777777" w:rsidR="003F3556" w:rsidRPr="00A63F41" w:rsidRDefault="003F3556" w:rsidP="00A63F41">
      <w:pPr>
        <w:pStyle w:val="BodyText"/>
      </w:pPr>
      <w:r w:rsidRPr="00A63F41">
        <w:t>Aspen Insurance Group</w:t>
      </w:r>
    </w:p>
    <w:p w14:paraId="725B4036" w14:textId="77777777" w:rsidR="003F3556" w:rsidRPr="00A63F41" w:rsidRDefault="003F3556" w:rsidP="00A63F41">
      <w:pPr>
        <w:pStyle w:val="BodyText"/>
      </w:pPr>
      <w:r w:rsidRPr="00A63F41">
        <w:t>BGC Partners</w:t>
      </w:r>
    </w:p>
    <w:p w14:paraId="31BB55B9" w14:textId="77777777" w:rsidR="003F3556" w:rsidRPr="00A63F41" w:rsidRDefault="003F3556" w:rsidP="00A63F41">
      <w:pPr>
        <w:pStyle w:val="BodyText"/>
      </w:pPr>
      <w:r w:rsidRPr="00A63F41">
        <w:t>Cadell</w:t>
      </w:r>
    </w:p>
    <w:p w14:paraId="7AD468A7" w14:textId="77777777" w:rsidR="003F3556" w:rsidRPr="00A63F41" w:rsidRDefault="003F3556" w:rsidP="00A63F41">
      <w:pPr>
        <w:pStyle w:val="BodyText"/>
      </w:pPr>
      <w:r w:rsidRPr="00A63F41">
        <w:t xml:space="preserve">Charles Russell </w:t>
      </w:r>
      <w:proofErr w:type="spellStart"/>
      <w:r w:rsidRPr="00A63F41">
        <w:t>Speechlys</w:t>
      </w:r>
      <w:proofErr w:type="spellEnd"/>
    </w:p>
    <w:p w14:paraId="41BFD5B0" w14:textId="77777777" w:rsidR="003F3556" w:rsidRPr="00A63F41" w:rsidRDefault="003F3556" w:rsidP="00A63F41">
      <w:pPr>
        <w:pStyle w:val="BodyText"/>
      </w:pPr>
      <w:r w:rsidRPr="00A63F41">
        <w:t>David Gold</w:t>
      </w:r>
    </w:p>
    <w:p w14:paraId="7775A710" w14:textId="77777777" w:rsidR="003F3556" w:rsidRPr="00A63F41" w:rsidRDefault="003F3556" w:rsidP="00A63F41">
      <w:pPr>
        <w:pStyle w:val="BodyText"/>
      </w:pPr>
      <w:r w:rsidRPr="00A63F41">
        <w:t>Dawsons Auctioneers</w:t>
      </w:r>
    </w:p>
    <w:p w14:paraId="779700C1" w14:textId="77777777" w:rsidR="003F3556" w:rsidRPr="00A63F41" w:rsidRDefault="003F3556" w:rsidP="00A63F41">
      <w:pPr>
        <w:pStyle w:val="BodyText"/>
      </w:pPr>
      <w:proofErr w:type="spellStart"/>
      <w:r w:rsidRPr="00A63F41">
        <w:t>Esrael</w:t>
      </w:r>
      <w:proofErr w:type="spellEnd"/>
      <w:r w:rsidRPr="00A63F41">
        <w:t xml:space="preserve"> </w:t>
      </w:r>
      <w:proofErr w:type="spellStart"/>
      <w:r w:rsidRPr="00A63F41">
        <w:t>Alem</w:t>
      </w:r>
      <w:proofErr w:type="spellEnd"/>
    </w:p>
    <w:p w14:paraId="7704D456" w14:textId="77777777" w:rsidR="003F3556" w:rsidRPr="00A63F41" w:rsidRDefault="003F3556" w:rsidP="00A63F41">
      <w:pPr>
        <w:pStyle w:val="BodyText"/>
      </w:pPr>
      <w:r w:rsidRPr="00A63F41">
        <w:t xml:space="preserve">Frances </w:t>
      </w:r>
      <w:proofErr w:type="spellStart"/>
      <w:r w:rsidRPr="00A63F41">
        <w:t>Segelman</w:t>
      </w:r>
      <w:proofErr w:type="spellEnd"/>
      <w:r w:rsidRPr="00A63F41">
        <w:t xml:space="preserve"> (Lady Petchey) </w:t>
      </w:r>
    </w:p>
    <w:p w14:paraId="0F52DA8F" w14:textId="77777777" w:rsidR="003F3556" w:rsidRPr="00A63F41" w:rsidRDefault="003F3556" w:rsidP="00A63F41">
      <w:pPr>
        <w:pStyle w:val="BodyText"/>
      </w:pPr>
      <w:r w:rsidRPr="00A63F41">
        <w:t>and Sir Jack Petchey CBE</w:t>
      </w:r>
    </w:p>
    <w:p w14:paraId="78976867" w14:textId="77777777" w:rsidR="003F3556" w:rsidRPr="00A63F41" w:rsidRDefault="003F3556" w:rsidP="00A63F41">
      <w:pPr>
        <w:pStyle w:val="BodyText"/>
      </w:pPr>
      <w:r w:rsidRPr="00A63F41">
        <w:t>Groupon</w:t>
      </w:r>
    </w:p>
    <w:p w14:paraId="638D2A0E" w14:textId="77777777" w:rsidR="003F3556" w:rsidRPr="00A63F41" w:rsidRDefault="003F3556" w:rsidP="00A63F41">
      <w:pPr>
        <w:pStyle w:val="BodyText"/>
      </w:pPr>
      <w:r w:rsidRPr="00A63F41">
        <w:t>Insurance Industry Charitable Foundation UK</w:t>
      </w:r>
    </w:p>
    <w:p w14:paraId="399357FE" w14:textId="77777777" w:rsidR="003F3556" w:rsidRPr="00A63F41" w:rsidRDefault="003F3556" w:rsidP="00A63F41">
      <w:pPr>
        <w:pStyle w:val="BodyText"/>
      </w:pPr>
      <w:r w:rsidRPr="00A63F41">
        <w:t>Jack Hannon</w:t>
      </w:r>
    </w:p>
    <w:p w14:paraId="64A37D3E" w14:textId="77777777" w:rsidR="003F3556" w:rsidRPr="00A63F41" w:rsidRDefault="003F3556" w:rsidP="00A63F41">
      <w:pPr>
        <w:pStyle w:val="BodyText"/>
      </w:pPr>
      <w:r w:rsidRPr="00A63F41">
        <w:t>Kathryn Powley</w:t>
      </w:r>
    </w:p>
    <w:p w14:paraId="6F08A8C9" w14:textId="77777777" w:rsidR="003F3556" w:rsidRPr="00A63F41" w:rsidRDefault="003F3556" w:rsidP="00A63F41">
      <w:pPr>
        <w:pStyle w:val="BodyText"/>
      </w:pPr>
      <w:r w:rsidRPr="00A63F41">
        <w:t>Koch Metals Trading Limited</w:t>
      </w:r>
    </w:p>
    <w:p w14:paraId="3A400B20" w14:textId="77777777" w:rsidR="003F3556" w:rsidRPr="00A63F41" w:rsidRDefault="003F3556" w:rsidP="00A63F41">
      <w:pPr>
        <w:pStyle w:val="BodyText"/>
      </w:pPr>
      <w:r w:rsidRPr="00A63F41">
        <w:t>Legal &amp; General</w:t>
      </w:r>
    </w:p>
    <w:p w14:paraId="45F797E0" w14:textId="77777777" w:rsidR="003F3556" w:rsidRPr="00A63F41" w:rsidRDefault="003F3556" w:rsidP="00A63F41">
      <w:pPr>
        <w:pStyle w:val="BodyText"/>
      </w:pPr>
      <w:r w:rsidRPr="00A63F41">
        <w:t>Lisa &amp; Adrian Binks</w:t>
      </w:r>
    </w:p>
    <w:p w14:paraId="468A50A1" w14:textId="77777777" w:rsidR="003F3556" w:rsidRPr="00A63F41" w:rsidRDefault="003F3556" w:rsidP="00A63F41">
      <w:pPr>
        <w:pStyle w:val="BodyText"/>
      </w:pPr>
      <w:r w:rsidRPr="00A63F41">
        <w:t xml:space="preserve">Marcus </w:t>
      </w:r>
      <w:proofErr w:type="spellStart"/>
      <w:r w:rsidRPr="00A63F41">
        <w:t>Dilistone</w:t>
      </w:r>
      <w:proofErr w:type="spellEnd"/>
    </w:p>
    <w:p w14:paraId="43440BAD" w14:textId="77777777" w:rsidR="003F3556" w:rsidRPr="00A63F41" w:rsidRDefault="003F3556" w:rsidP="00A63F41">
      <w:pPr>
        <w:pStyle w:val="BodyText"/>
      </w:pPr>
      <w:r w:rsidRPr="00A63F41">
        <w:t>Matthew Butler</w:t>
      </w:r>
    </w:p>
    <w:p w14:paraId="2480C7DD" w14:textId="77777777" w:rsidR="003F3556" w:rsidRPr="00A63F41" w:rsidRDefault="003F3556" w:rsidP="00A63F41">
      <w:pPr>
        <w:pStyle w:val="BodyText"/>
      </w:pPr>
      <w:r w:rsidRPr="00A63F41">
        <w:t>Nic Owen</w:t>
      </w:r>
    </w:p>
    <w:p w14:paraId="7B801EDB" w14:textId="77777777" w:rsidR="003F3556" w:rsidRPr="00A63F41" w:rsidRDefault="003F3556" w:rsidP="00A63F41">
      <w:pPr>
        <w:pStyle w:val="BodyText"/>
      </w:pPr>
      <w:proofErr w:type="spellStart"/>
      <w:r w:rsidRPr="00A63F41">
        <w:t>Ofenheim</w:t>
      </w:r>
      <w:proofErr w:type="spellEnd"/>
      <w:r w:rsidRPr="00A63F41">
        <w:t xml:space="preserve"> Charitable Trust</w:t>
      </w:r>
    </w:p>
    <w:p w14:paraId="7D2CB2E3" w14:textId="77777777" w:rsidR="003F3556" w:rsidRPr="00A63F41" w:rsidRDefault="003F3556" w:rsidP="00A63F41">
      <w:pPr>
        <w:pStyle w:val="BodyText"/>
      </w:pPr>
      <w:proofErr w:type="spellStart"/>
      <w:r w:rsidRPr="00A63F41">
        <w:t>Portner</w:t>
      </w:r>
      <w:proofErr w:type="spellEnd"/>
    </w:p>
    <w:p w14:paraId="36D7AE12" w14:textId="77777777" w:rsidR="003F3556" w:rsidRPr="00A63F41" w:rsidRDefault="003F3556" w:rsidP="00A63F41">
      <w:pPr>
        <w:pStyle w:val="BodyText"/>
      </w:pPr>
      <w:r w:rsidRPr="00A63F41">
        <w:t>Reed Foundation</w:t>
      </w:r>
    </w:p>
    <w:p w14:paraId="0B3DA8E8" w14:textId="77777777" w:rsidR="003F3556" w:rsidRPr="00A63F41" w:rsidRDefault="003F3556" w:rsidP="00A63F41">
      <w:pPr>
        <w:pStyle w:val="BodyText"/>
      </w:pPr>
      <w:proofErr w:type="spellStart"/>
      <w:r w:rsidRPr="00A63F41">
        <w:t>Scouloudi</w:t>
      </w:r>
      <w:proofErr w:type="spellEnd"/>
      <w:r w:rsidRPr="00A63F41">
        <w:t xml:space="preserve"> Foundation</w:t>
      </w:r>
    </w:p>
    <w:p w14:paraId="578580E1" w14:textId="77777777" w:rsidR="003F3556" w:rsidRPr="00A63F41" w:rsidRDefault="003F3556" w:rsidP="00A63F41">
      <w:pPr>
        <w:pStyle w:val="BodyText"/>
      </w:pPr>
      <w:r w:rsidRPr="00A63F41">
        <w:t xml:space="preserve">Serena </w:t>
      </w:r>
      <w:proofErr w:type="spellStart"/>
      <w:r w:rsidRPr="00A63F41">
        <w:t>Hesmondhalgh</w:t>
      </w:r>
      <w:proofErr w:type="spellEnd"/>
    </w:p>
    <w:p w14:paraId="37AE2536" w14:textId="77777777" w:rsidR="003F3556" w:rsidRPr="00A63F41" w:rsidRDefault="003F3556" w:rsidP="00A63F41">
      <w:pPr>
        <w:pStyle w:val="BodyText"/>
      </w:pPr>
      <w:r w:rsidRPr="00A63F41">
        <w:t>Sidley Austin LLP</w:t>
      </w:r>
    </w:p>
    <w:p w14:paraId="2ED64A8E" w14:textId="77777777" w:rsidR="003F3556" w:rsidRPr="00A63F41" w:rsidRDefault="003F3556" w:rsidP="00A63F41">
      <w:pPr>
        <w:pStyle w:val="BodyText"/>
      </w:pPr>
      <w:r w:rsidRPr="00A63F41">
        <w:t>Theatre Tokens</w:t>
      </w:r>
    </w:p>
    <w:p w14:paraId="6DF6FD6E" w14:textId="77777777" w:rsidR="003F3556" w:rsidRPr="00A63F41" w:rsidRDefault="003F3556" w:rsidP="00A63F41">
      <w:pPr>
        <w:pStyle w:val="BodyText"/>
      </w:pPr>
      <w:r w:rsidRPr="00A63F41">
        <w:t>The Chartered Accountants’ Livery Charity</w:t>
      </w:r>
    </w:p>
    <w:p w14:paraId="3765489E" w14:textId="77777777" w:rsidR="003F3556" w:rsidRPr="00A63F41" w:rsidRDefault="003F3556" w:rsidP="00A63F41">
      <w:pPr>
        <w:pStyle w:val="BodyText"/>
      </w:pPr>
      <w:r w:rsidRPr="00A63F41">
        <w:t xml:space="preserve">The </w:t>
      </w:r>
      <w:proofErr w:type="spellStart"/>
      <w:r w:rsidRPr="00A63F41">
        <w:t>Dorotheum</w:t>
      </w:r>
      <w:proofErr w:type="spellEnd"/>
    </w:p>
    <w:p w14:paraId="439F9F5A" w14:textId="77777777" w:rsidR="003F3556" w:rsidRPr="00A63F41" w:rsidRDefault="003F3556" w:rsidP="00A63F41">
      <w:pPr>
        <w:pStyle w:val="BodyText"/>
      </w:pPr>
      <w:r w:rsidRPr="00A63F41">
        <w:t>The Frances Mary Smith Charitable Trust</w:t>
      </w:r>
    </w:p>
    <w:p w14:paraId="5DB1243F" w14:textId="77777777" w:rsidR="003F3556" w:rsidRPr="00A63F41" w:rsidRDefault="003F3556" w:rsidP="00A63F41">
      <w:pPr>
        <w:pStyle w:val="BodyText"/>
      </w:pPr>
      <w:r w:rsidRPr="00A63F41">
        <w:t>The Geoff &amp; Fiona Squire Foundation</w:t>
      </w:r>
    </w:p>
    <w:p w14:paraId="6FC87BF2" w14:textId="77777777" w:rsidR="003F3556" w:rsidRPr="00A63F41" w:rsidRDefault="003F3556" w:rsidP="00A63F41">
      <w:pPr>
        <w:pStyle w:val="BodyText"/>
      </w:pPr>
      <w:r w:rsidRPr="00A63F41">
        <w:t xml:space="preserve">Lady Allison and Sir Harvey McGrath </w:t>
      </w:r>
    </w:p>
    <w:p w14:paraId="7947E4CD" w14:textId="77777777" w:rsidR="003F3556" w:rsidRPr="00A63F41" w:rsidRDefault="003F3556" w:rsidP="00A63F41">
      <w:pPr>
        <w:pStyle w:val="BodyText"/>
      </w:pPr>
      <w:r w:rsidRPr="00A63F41">
        <w:t>The Murphy Family Foundation</w:t>
      </w:r>
    </w:p>
    <w:p w14:paraId="52641D4E" w14:textId="0CD5CFFF" w:rsidR="003F3556" w:rsidRPr="00A63F41" w:rsidRDefault="003F3556" w:rsidP="00A63F41">
      <w:pPr>
        <w:pStyle w:val="BodyText"/>
      </w:pPr>
      <w:proofErr w:type="spellStart"/>
      <w:r w:rsidRPr="00A63F41">
        <w:t>Wowcher</w:t>
      </w:r>
      <w:proofErr w:type="spellEnd"/>
    </w:p>
    <w:p w14:paraId="16E97309" w14:textId="77777777" w:rsidR="00A63F41" w:rsidRDefault="00A63F41" w:rsidP="00A63F41">
      <w:pPr>
        <w:pStyle w:val="BodyText"/>
        <w:sectPr w:rsidR="00A63F41" w:rsidSect="00A63F41">
          <w:type w:val="continuous"/>
          <w:pgSz w:w="11900" w:h="16840"/>
          <w:pgMar w:top="1132" w:right="1440" w:bottom="1440" w:left="1440" w:header="708" w:footer="708" w:gutter="0"/>
          <w:cols w:num="2" w:space="708"/>
          <w:docGrid w:linePitch="360"/>
        </w:sectPr>
      </w:pPr>
    </w:p>
    <w:p w14:paraId="019918FF" w14:textId="69609A51" w:rsidR="00A63F41" w:rsidRPr="00A63F41" w:rsidRDefault="00A63F41" w:rsidP="00A63F41">
      <w:pPr>
        <w:pStyle w:val="BodyText"/>
      </w:pPr>
    </w:p>
    <w:p w14:paraId="074D0C13" w14:textId="77777777" w:rsidR="00A63F41" w:rsidRPr="00A63F41" w:rsidRDefault="00A63F41" w:rsidP="00A63F41">
      <w:pPr>
        <w:pStyle w:val="BodyText"/>
      </w:pPr>
      <w:r w:rsidRPr="00A63F41">
        <w:t>With special thanks to our legacy donors this year. Their generous decision to remember the Vision Foundation in their will has ensured that we could be there for those who needed us most in this challenging year:</w:t>
      </w:r>
    </w:p>
    <w:p w14:paraId="14EEDCE4" w14:textId="77777777" w:rsidR="00A63F41" w:rsidRPr="00A63F41" w:rsidRDefault="00A63F41" w:rsidP="00A63F41">
      <w:pPr>
        <w:pStyle w:val="BodyText"/>
        <w:sectPr w:rsidR="00A63F41" w:rsidRPr="00A63F41" w:rsidSect="00015F7B">
          <w:type w:val="continuous"/>
          <w:pgSz w:w="11900" w:h="16840"/>
          <w:pgMar w:top="1132" w:right="1440" w:bottom="1440" w:left="1440" w:header="708" w:footer="708" w:gutter="0"/>
          <w:cols w:space="708"/>
          <w:docGrid w:linePitch="360"/>
        </w:sectPr>
      </w:pPr>
    </w:p>
    <w:p w14:paraId="31D4F3D8" w14:textId="77777777" w:rsidR="00A63F41" w:rsidRPr="00A63F41" w:rsidRDefault="00A63F41" w:rsidP="00A63F41">
      <w:pPr>
        <w:pStyle w:val="BodyText"/>
      </w:pPr>
      <w:r w:rsidRPr="00A63F41">
        <w:t>B Slater</w:t>
      </w:r>
    </w:p>
    <w:p w14:paraId="519B6F1F" w14:textId="77777777" w:rsidR="00A63F41" w:rsidRPr="00A63F41" w:rsidRDefault="00A63F41" w:rsidP="00A63F41">
      <w:pPr>
        <w:pStyle w:val="BodyText"/>
      </w:pPr>
      <w:r w:rsidRPr="00A63F41">
        <w:t>D Cremer</w:t>
      </w:r>
    </w:p>
    <w:p w14:paraId="5302E74E" w14:textId="77777777" w:rsidR="00A63F41" w:rsidRPr="00A63F41" w:rsidRDefault="00A63F41" w:rsidP="00A63F41">
      <w:pPr>
        <w:pStyle w:val="BodyText"/>
      </w:pPr>
      <w:r w:rsidRPr="00A63F41">
        <w:t xml:space="preserve">Eileen </w:t>
      </w:r>
      <w:proofErr w:type="spellStart"/>
      <w:r w:rsidRPr="00A63F41">
        <w:t>Harriss</w:t>
      </w:r>
      <w:proofErr w:type="spellEnd"/>
    </w:p>
    <w:p w14:paraId="31707C85" w14:textId="77777777" w:rsidR="00A63F41" w:rsidRPr="00A63F41" w:rsidRDefault="00A63F41" w:rsidP="00A63F41">
      <w:pPr>
        <w:pStyle w:val="BodyText"/>
      </w:pPr>
      <w:r w:rsidRPr="00A63F41">
        <w:t>G Gruner</w:t>
      </w:r>
    </w:p>
    <w:p w14:paraId="4365C458" w14:textId="77777777" w:rsidR="00A63F41" w:rsidRPr="00A63F41" w:rsidRDefault="00A63F41" w:rsidP="00A63F41">
      <w:pPr>
        <w:pStyle w:val="BodyText"/>
      </w:pPr>
      <w:r w:rsidRPr="00A63F41">
        <w:t>Irma Austin</w:t>
      </w:r>
    </w:p>
    <w:p w14:paraId="01411880" w14:textId="77777777" w:rsidR="00A63F41" w:rsidRPr="00A63F41" w:rsidRDefault="00A63F41" w:rsidP="00A63F41">
      <w:pPr>
        <w:pStyle w:val="BodyText"/>
      </w:pPr>
      <w:r w:rsidRPr="00A63F41">
        <w:t xml:space="preserve">John </w:t>
      </w:r>
      <w:proofErr w:type="spellStart"/>
      <w:r w:rsidRPr="00A63F41">
        <w:t>Woodmancy</w:t>
      </w:r>
      <w:proofErr w:type="spellEnd"/>
    </w:p>
    <w:p w14:paraId="395598C7" w14:textId="77777777" w:rsidR="00A63F41" w:rsidRPr="00A63F41" w:rsidRDefault="00A63F41" w:rsidP="00A63F41">
      <w:pPr>
        <w:pStyle w:val="BodyText"/>
      </w:pPr>
      <w:r w:rsidRPr="00A63F41">
        <w:t xml:space="preserve">Marjorie Idina </w:t>
      </w:r>
    </w:p>
    <w:p w14:paraId="23D2DF91" w14:textId="77777777" w:rsidR="00A63F41" w:rsidRPr="00A63F41" w:rsidRDefault="00A63F41" w:rsidP="00A63F41">
      <w:pPr>
        <w:pStyle w:val="BodyText"/>
      </w:pPr>
      <w:r w:rsidRPr="00A63F41">
        <w:t>Emily Stonehouse</w:t>
      </w:r>
    </w:p>
    <w:p w14:paraId="6BD77160" w14:textId="77777777" w:rsidR="00A63F41" w:rsidRPr="00A63F41" w:rsidRDefault="00A63F41" w:rsidP="00A63F41">
      <w:pPr>
        <w:pStyle w:val="BodyText"/>
      </w:pPr>
      <w:r w:rsidRPr="00A63F41">
        <w:t>Peter Jukes</w:t>
      </w:r>
    </w:p>
    <w:p w14:paraId="1755957C" w14:textId="77777777" w:rsidR="00A63F41" w:rsidRDefault="00A63F41" w:rsidP="00A63F41">
      <w:pPr>
        <w:pStyle w:val="BodyText"/>
        <w:sectPr w:rsidR="00A63F41" w:rsidSect="00A63F41">
          <w:type w:val="continuous"/>
          <w:pgSz w:w="11900" w:h="16840"/>
          <w:pgMar w:top="1132" w:right="1440" w:bottom="1440" w:left="1440" w:header="708" w:footer="708" w:gutter="0"/>
          <w:cols w:num="2" w:space="708"/>
          <w:docGrid w:linePitch="360"/>
        </w:sectPr>
      </w:pPr>
      <w:r w:rsidRPr="00A63F41">
        <w:t>Tadeusz Laskowsk</w:t>
      </w:r>
      <w:r>
        <w:t>i</w:t>
      </w:r>
    </w:p>
    <w:p w14:paraId="3A0D11A9" w14:textId="214F78BE" w:rsidR="00A63F41" w:rsidRDefault="00A63F41" w:rsidP="00A63F41">
      <w:pPr>
        <w:pStyle w:val="BodyText"/>
      </w:pPr>
    </w:p>
    <w:p w14:paraId="00D7E5B2" w14:textId="75939AE1" w:rsidR="00A63F41" w:rsidRDefault="00A63F41" w:rsidP="00A63F41">
      <w:pPr>
        <w:pStyle w:val="BodyText"/>
      </w:pPr>
    </w:p>
    <w:p w14:paraId="3AC7A018" w14:textId="77777777" w:rsidR="00A63F41" w:rsidRDefault="00A63F41" w:rsidP="00A63F41">
      <w:pPr>
        <w:widowControl/>
        <w:suppressAutoHyphens/>
        <w:adjustRightInd w:val="0"/>
        <w:spacing w:after="200" w:line="280" w:lineRule="atLeast"/>
        <w:textAlignment w:val="center"/>
        <w:rPr>
          <w:rFonts w:eastAsia="MS Mincho" w:cs="FS Albert"/>
          <w:b/>
          <w:bCs/>
          <w:color w:val="11100D"/>
          <w:szCs w:val="24"/>
        </w:rPr>
        <w:sectPr w:rsidR="00A63F41" w:rsidSect="00A63F41">
          <w:type w:val="continuous"/>
          <w:pgSz w:w="11900" w:h="16840"/>
          <w:pgMar w:top="1132" w:right="1440" w:bottom="1440" w:left="1440" w:header="708" w:footer="708" w:gutter="0"/>
          <w:cols w:space="708"/>
          <w:docGrid w:linePitch="360"/>
        </w:sectPr>
      </w:pPr>
    </w:p>
    <w:p w14:paraId="1A5164BD" w14:textId="77777777" w:rsidR="00A63F41" w:rsidRPr="00A63F41" w:rsidRDefault="00A63F41" w:rsidP="00A63F41">
      <w:pPr>
        <w:widowControl/>
        <w:suppressAutoHyphens/>
        <w:adjustRightInd w:val="0"/>
        <w:spacing w:after="200" w:line="280" w:lineRule="atLeast"/>
        <w:textAlignment w:val="center"/>
        <w:rPr>
          <w:rFonts w:eastAsia="MS Mincho" w:cs="FS Albert"/>
          <w:color w:val="11100D"/>
          <w:szCs w:val="24"/>
        </w:rPr>
      </w:pPr>
      <w:r w:rsidRPr="00A63F41">
        <w:rPr>
          <w:rFonts w:eastAsia="MS Mincho" w:cs="FS Albert"/>
          <w:b/>
          <w:bCs/>
          <w:color w:val="11100D"/>
          <w:szCs w:val="24"/>
        </w:rPr>
        <w:lastRenderedPageBreak/>
        <w:t xml:space="preserve">Lastly, we would like to thank our Royal Patron, Vice Presidents, Trustees, Appeal Board and Advisory Committee members, who give their time, </w:t>
      </w:r>
      <w:proofErr w:type="gramStart"/>
      <w:r w:rsidRPr="00A63F41">
        <w:rPr>
          <w:rFonts w:eastAsia="MS Mincho" w:cs="FS Albert"/>
          <w:b/>
          <w:bCs/>
          <w:color w:val="11100D"/>
          <w:szCs w:val="24"/>
        </w:rPr>
        <w:t>expertise</w:t>
      </w:r>
      <w:proofErr w:type="gramEnd"/>
      <w:r w:rsidRPr="00A63F41">
        <w:rPr>
          <w:rFonts w:eastAsia="MS Mincho" w:cs="FS Albert"/>
          <w:b/>
          <w:bCs/>
          <w:color w:val="11100D"/>
          <w:szCs w:val="24"/>
        </w:rPr>
        <w:t xml:space="preserve"> and profile in support of ensuring change for blind and partially sighted people. We could not exist without your support:</w:t>
      </w:r>
    </w:p>
    <w:p w14:paraId="3F926F91" w14:textId="77777777" w:rsidR="00A63F41" w:rsidRPr="00A63F41" w:rsidRDefault="00A63F41" w:rsidP="00A63F41">
      <w:pPr>
        <w:pStyle w:val="Heading3"/>
      </w:pPr>
      <w:r w:rsidRPr="00A63F41">
        <w:t xml:space="preserve">Royal Patron: </w:t>
      </w:r>
    </w:p>
    <w:p w14:paraId="10CA6A14" w14:textId="5732BB90" w:rsidR="00A63F41" w:rsidRPr="00467930" w:rsidRDefault="00A63F41" w:rsidP="00467930">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HRH The Countess of Wessex </w:t>
      </w:r>
    </w:p>
    <w:p w14:paraId="088EF05B" w14:textId="67F72EC7" w:rsidR="00A63F41" w:rsidRPr="00A63F41" w:rsidRDefault="00A63F41" w:rsidP="00A63F41">
      <w:pPr>
        <w:pStyle w:val="Heading3"/>
      </w:pPr>
      <w:r w:rsidRPr="00A63F41">
        <w:t xml:space="preserve">Our Vice Presidents: </w:t>
      </w:r>
    </w:p>
    <w:p w14:paraId="6EA775BF"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Cherie Blair CBE, QC </w:t>
      </w:r>
    </w:p>
    <w:p w14:paraId="295D2469"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Lord David Blunkett </w:t>
      </w:r>
    </w:p>
    <w:p w14:paraId="754AAC14"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Sir Rocco Forte </w:t>
      </w:r>
    </w:p>
    <w:p w14:paraId="4CB87699"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The Rt Hon Sir John Major KG CH</w:t>
      </w:r>
    </w:p>
    <w:p w14:paraId="5BAAA4D2"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Frances </w:t>
      </w:r>
      <w:proofErr w:type="spellStart"/>
      <w:r w:rsidRPr="00A63F41">
        <w:rPr>
          <w:rFonts w:eastAsia="MS Mincho" w:cs="FS Albert"/>
          <w:color w:val="11100D"/>
          <w:szCs w:val="24"/>
        </w:rPr>
        <w:t>Segelman</w:t>
      </w:r>
      <w:proofErr w:type="spellEnd"/>
      <w:r w:rsidRPr="00A63F41">
        <w:rPr>
          <w:rFonts w:eastAsia="MS Mincho" w:cs="FS Albert"/>
          <w:color w:val="11100D"/>
          <w:szCs w:val="24"/>
        </w:rPr>
        <w:t xml:space="preserve"> (Lady Petchey) </w:t>
      </w:r>
    </w:p>
    <w:p w14:paraId="66BFD264" w14:textId="5ABCBFCA" w:rsidR="00A63F41" w:rsidRDefault="00A63F41" w:rsidP="00467930">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Ian Davies </w:t>
      </w:r>
    </w:p>
    <w:p w14:paraId="16168FDD" w14:textId="77777777" w:rsidR="00467930" w:rsidRPr="00467930" w:rsidRDefault="00467930" w:rsidP="00467930">
      <w:pPr>
        <w:widowControl/>
        <w:suppressAutoHyphens/>
        <w:adjustRightInd w:val="0"/>
        <w:spacing w:after="100" w:line="280" w:lineRule="atLeast"/>
        <w:textAlignment w:val="center"/>
        <w:rPr>
          <w:rFonts w:eastAsia="MS Mincho" w:cs="FS Albert"/>
          <w:color w:val="11100D"/>
          <w:szCs w:val="24"/>
        </w:rPr>
      </w:pPr>
    </w:p>
    <w:p w14:paraId="3F605516" w14:textId="5F94B3BA" w:rsidR="00A63F41" w:rsidRPr="00A63F41" w:rsidRDefault="00A63F41" w:rsidP="00A63F41">
      <w:pPr>
        <w:pStyle w:val="Heading3"/>
        <w:rPr>
          <w:rFonts w:eastAsia="MS Mincho"/>
        </w:rPr>
      </w:pPr>
      <w:r w:rsidRPr="00A63F41">
        <w:rPr>
          <w:rFonts w:eastAsia="MS Mincho"/>
        </w:rPr>
        <w:t xml:space="preserve">Our Trustees: </w:t>
      </w:r>
    </w:p>
    <w:p w14:paraId="49629A79" w14:textId="77777777" w:rsidR="00A63F41" w:rsidRDefault="00A63F41" w:rsidP="00A63F41">
      <w:pPr>
        <w:widowControl/>
        <w:suppressAutoHyphens/>
        <w:adjustRightInd w:val="0"/>
        <w:spacing w:after="100" w:line="280" w:lineRule="atLeast"/>
        <w:textAlignment w:val="center"/>
        <w:rPr>
          <w:rFonts w:eastAsia="MS Mincho" w:cs="FS Albert"/>
          <w:color w:val="11100D"/>
          <w:szCs w:val="24"/>
        </w:rPr>
        <w:sectPr w:rsidR="00A63F41" w:rsidSect="00A63F41">
          <w:pgSz w:w="11900" w:h="16840"/>
          <w:pgMar w:top="1132" w:right="1440" w:bottom="1440" w:left="1440" w:header="708" w:footer="708" w:gutter="0"/>
          <w:cols w:space="708"/>
          <w:docGrid w:linePitch="360"/>
        </w:sectPr>
      </w:pPr>
    </w:p>
    <w:p w14:paraId="6DAD14EA"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Darren Barker </w:t>
      </w:r>
    </w:p>
    <w:p w14:paraId="240852BD"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Victoria Currey </w:t>
      </w:r>
    </w:p>
    <w:p w14:paraId="6E5AEEB4"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Heather Goodhew (Chair)</w:t>
      </w:r>
    </w:p>
    <w:p w14:paraId="31846B9F"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Keith Felton </w:t>
      </w:r>
    </w:p>
    <w:p w14:paraId="402192E5"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Elizabeth </w:t>
      </w:r>
      <w:proofErr w:type="spellStart"/>
      <w:r w:rsidRPr="00A63F41">
        <w:rPr>
          <w:rFonts w:eastAsia="MS Mincho" w:cs="FS Albert"/>
          <w:color w:val="11100D"/>
          <w:szCs w:val="24"/>
        </w:rPr>
        <w:t>Honer</w:t>
      </w:r>
      <w:proofErr w:type="spellEnd"/>
      <w:r w:rsidRPr="00A63F41">
        <w:rPr>
          <w:rFonts w:eastAsia="MS Mincho" w:cs="FS Albert"/>
          <w:color w:val="11100D"/>
          <w:szCs w:val="24"/>
        </w:rPr>
        <w:t xml:space="preserve"> </w:t>
      </w:r>
    </w:p>
    <w:p w14:paraId="630D36C1"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Bob Hughes</w:t>
      </w:r>
    </w:p>
    <w:p w14:paraId="0CFA629B"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Ly Lam (Treasurer)</w:t>
      </w:r>
    </w:p>
    <w:p w14:paraId="7CA59BA3"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 xml:space="preserve">Susanette Mansour </w:t>
      </w:r>
    </w:p>
    <w:p w14:paraId="7850B96B"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Dr Amit Patel</w:t>
      </w:r>
    </w:p>
    <w:p w14:paraId="45A353E3" w14:textId="42FBD8BE" w:rsidR="00A63F41" w:rsidRDefault="00A63F41" w:rsidP="00A63F41">
      <w:pPr>
        <w:widowControl/>
        <w:suppressAutoHyphens/>
        <w:adjustRightInd w:val="0"/>
        <w:spacing w:after="100" w:line="280" w:lineRule="atLeast"/>
        <w:textAlignment w:val="center"/>
        <w:rPr>
          <w:rFonts w:eastAsia="MS Mincho" w:cs="FS Albert"/>
          <w:color w:val="11100D"/>
          <w:szCs w:val="24"/>
        </w:rPr>
        <w:sectPr w:rsidR="00A63F41" w:rsidSect="00A63F41">
          <w:type w:val="continuous"/>
          <w:pgSz w:w="11900" w:h="16840"/>
          <w:pgMar w:top="1132" w:right="1440" w:bottom="1440" w:left="1440" w:header="708" w:footer="708" w:gutter="0"/>
          <w:cols w:num="2" w:space="708"/>
          <w:docGrid w:linePitch="360"/>
        </w:sectPr>
      </w:pPr>
      <w:r w:rsidRPr="00A63F41">
        <w:rPr>
          <w:rFonts w:eastAsia="MS Mincho" w:cs="FS Albert"/>
          <w:color w:val="11100D"/>
          <w:szCs w:val="24"/>
        </w:rPr>
        <w:t>Sharon Petrie</w:t>
      </w:r>
    </w:p>
    <w:p w14:paraId="66CCF30A" w14:textId="77777777" w:rsidR="00A63F41" w:rsidRDefault="00A63F41" w:rsidP="00A63F41">
      <w:pPr>
        <w:pStyle w:val="Heading3"/>
        <w:sectPr w:rsidR="00A63F41" w:rsidSect="00A63F41">
          <w:type w:val="continuous"/>
          <w:pgSz w:w="11900" w:h="16840"/>
          <w:pgMar w:top="1132" w:right="1440" w:bottom="1440" w:left="1440" w:header="708" w:footer="708" w:gutter="0"/>
          <w:cols w:space="708"/>
          <w:docGrid w:linePitch="360"/>
        </w:sectPr>
      </w:pPr>
    </w:p>
    <w:p w14:paraId="72830F36" w14:textId="77777777" w:rsidR="00A63F41" w:rsidRPr="00A63F41" w:rsidRDefault="00A63F41" w:rsidP="00A63F41">
      <w:pPr>
        <w:pStyle w:val="Heading3"/>
      </w:pPr>
      <w:r w:rsidRPr="00A63F41">
        <w:t>Our Grants and Impact Advisory Committee:</w:t>
      </w:r>
    </w:p>
    <w:p w14:paraId="28EB6F79"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Darren Barker (Chair)</w:t>
      </w:r>
    </w:p>
    <w:p w14:paraId="6B203B50"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Natalie Doig</w:t>
      </w:r>
    </w:p>
    <w:p w14:paraId="49546494" w14:textId="77777777" w:rsidR="00A63F41" w:rsidRDefault="00A63F41" w:rsidP="00A63F41">
      <w:pPr>
        <w:widowControl/>
        <w:suppressAutoHyphens/>
        <w:adjustRightInd w:val="0"/>
        <w:spacing w:after="100" w:line="280" w:lineRule="atLeast"/>
        <w:textAlignment w:val="center"/>
        <w:rPr>
          <w:rFonts w:eastAsia="MS Mincho" w:cs="FS Albert"/>
          <w:color w:val="11100D"/>
          <w:szCs w:val="24"/>
        </w:rPr>
        <w:sectPr w:rsidR="00A63F41" w:rsidSect="00A63F41">
          <w:type w:val="continuous"/>
          <w:pgSz w:w="11900" w:h="16840"/>
          <w:pgMar w:top="1132" w:right="1440" w:bottom="1440" w:left="1440" w:header="708" w:footer="708" w:gutter="0"/>
          <w:cols w:space="708"/>
          <w:docGrid w:linePitch="360"/>
        </w:sectPr>
      </w:pPr>
    </w:p>
    <w:p w14:paraId="4E905B68"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Dr Amit Patel</w:t>
      </w:r>
    </w:p>
    <w:p w14:paraId="130F7BA0"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Keith Valentine</w:t>
      </w:r>
    </w:p>
    <w:p w14:paraId="79B48BFA" w14:textId="77777777" w:rsidR="00A63F41" w:rsidRDefault="00A63F41" w:rsidP="00A63F41">
      <w:pPr>
        <w:pStyle w:val="Heading3"/>
      </w:pPr>
    </w:p>
    <w:p w14:paraId="161ACF17" w14:textId="40543651" w:rsidR="00A63F41" w:rsidRPr="00A63F41" w:rsidRDefault="00A63F41" w:rsidP="00A63F41">
      <w:pPr>
        <w:pStyle w:val="Heading3"/>
      </w:pPr>
      <w:r w:rsidRPr="00A63F41">
        <w:t>Our Centenary Appeal Board:</w:t>
      </w:r>
    </w:p>
    <w:p w14:paraId="52B6CE3C" w14:textId="77777777" w:rsidR="00A63F41" w:rsidRDefault="00A63F41" w:rsidP="00A63F41">
      <w:pPr>
        <w:widowControl/>
        <w:suppressAutoHyphens/>
        <w:adjustRightInd w:val="0"/>
        <w:spacing w:after="100" w:line="280" w:lineRule="atLeast"/>
        <w:textAlignment w:val="center"/>
        <w:rPr>
          <w:rFonts w:eastAsia="MS Mincho" w:cs="FS Albert"/>
          <w:color w:val="11100D"/>
          <w:szCs w:val="24"/>
        </w:rPr>
        <w:sectPr w:rsidR="00A63F41" w:rsidSect="00A63F41">
          <w:type w:val="continuous"/>
          <w:pgSz w:w="11900" w:h="16840"/>
          <w:pgMar w:top="1132" w:right="1440" w:bottom="1440" w:left="1440" w:header="708" w:footer="708" w:gutter="0"/>
          <w:cols w:space="708"/>
          <w:docGrid w:linePitch="360"/>
        </w:sectPr>
      </w:pPr>
    </w:p>
    <w:p w14:paraId="1D876499"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Lisa Binks</w:t>
      </w:r>
    </w:p>
    <w:p w14:paraId="6E2B00BE"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Ian Davies</w:t>
      </w:r>
    </w:p>
    <w:p w14:paraId="02C87DF3"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Richard Farr</w:t>
      </w:r>
    </w:p>
    <w:p w14:paraId="60948FBE"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David Gold</w:t>
      </w:r>
    </w:p>
    <w:p w14:paraId="3E5B5C45"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Heather Goodhew (Co-Chair)</w:t>
      </w:r>
    </w:p>
    <w:p w14:paraId="51EF914A"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Harry Harris</w:t>
      </w:r>
    </w:p>
    <w:p w14:paraId="6EA5B5FF"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proofErr w:type="spellStart"/>
      <w:r w:rsidRPr="00A63F41">
        <w:rPr>
          <w:rFonts w:eastAsia="MS Mincho" w:cs="FS Albert"/>
          <w:color w:val="11100D"/>
          <w:szCs w:val="24"/>
        </w:rPr>
        <w:t>Mariza</w:t>
      </w:r>
      <w:proofErr w:type="spellEnd"/>
      <w:r w:rsidRPr="00A63F41">
        <w:rPr>
          <w:rFonts w:eastAsia="MS Mincho" w:cs="FS Albert"/>
          <w:color w:val="11100D"/>
          <w:szCs w:val="24"/>
        </w:rPr>
        <w:t xml:space="preserve"> Jurgens</w:t>
      </w:r>
    </w:p>
    <w:p w14:paraId="6643E9FA"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Alan Pickering</w:t>
      </w:r>
    </w:p>
    <w:p w14:paraId="5673FCDA" w14:textId="77777777" w:rsidR="00A63F41" w:rsidRPr="00A63F41" w:rsidRDefault="00A63F41" w:rsidP="00A63F41">
      <w:pPr>
        <w:widowControl/>
        <w:suppressAutoHyphens/>
        <w:adjustRightInd w:val="0"/>
        <w:spacing w:after="100" w:line="280" w:lineRule="atLeast"/>
        <w:textAlignment w:val="center"/>
        <w:rPr>
          <w:rFonts w:eastAsia="MS Mincho" w:cs="FS Albert"/>
          <w:color w:val="11100D"/>
          <w:szCs w:val="24"/>
        </w:rPr>
      </w:pPr>
      <w:r w:rsidRPr="00A63F41">
        <w:rPr>
          <w:rFonts w:eastAsia="MS Mincho" w:cs="FS Albert"/>
          <w:color w:val="11100D"/>
          <w:szCs w:val="24"/>
        </w:rPr>
        <w:t>Gavin Prentice</w:t>
      </w:r>
    </w:p>
    <w:p w14:paraId="08D6DC69" w14:textId="6198BA69" w:rsidR="00A63F41" w:rsidRDefault="00A63F41" w:rsidP="00A63F41">
      <w:pPr>
        <w:pStyle w:val="BodyText"/>
        <w:rPr>
          <w:rFonts w:eastAsia="MS Mincho" w:cs="FS Albert"/>
          <w:color w:val="11100D"/>
          <w:szCs w:val="24"/>
        </w:rPr>
      </w:pPr>
      <w:r w:rsidRPr="00A63F41">
        <w:rPr>
          <w:rFonts w:eastAsia="MS Mincho" w:cs="FS Albert"/>
          <w:color w:val="11100D"/>
          <w:szCs w:val="24"/>
        </w:rPr>
        <w:t>Naqi Rizvi (Co-Chair)</w:t>
      </w:r>
      <w:r w:rsidR="00CF738E">
        <w:rPr>
          <w:rFonts w:eastAsia="MS Mincho" w:cs="FS Albert"/>
          <w:color w:val="11100D"/>
          <w:szCs w:val="24"/>
        </w:rPr>
        <w:t xml:space="preserve"> </w:t>
      </w:r>
    </w:p>
    <w:p w14:paraId="726E6D7D" w14:textId="77777777" w:rsidR="00CF738E" w:rsidRDefault="00CF738E" w:rsidP="00CF738E">
      <w:pPr>
        <w:pStyle w:val="Heading1"/>
        <w:sectPr w:rsidR="00CF738E" w:rsidSect="00A63F41">
          <w:type w:val="continuous"/>
          <w:pgSz w:w="11900" w:h="16840"/>
          <w:pgMar w:top="1132" w:right="1440" w:bottom="1440" w:left="1440" w:header="708" w:footer="708" w:gutter="0"/>
          <w:cols w:num="2" w:space="708"/>
          <w:docGrid w:linePitch="360"/>
        </w:sectPr>
      </w:pPr>
    </w:p>
    <w:p w14:paraId="7A99BED7" w14:textId="77777777" w:rsidR="00467930" w:rsidRDefault="00467930" w:rsidP="00CF738E">
      <w:pPr>
        <w:pStyle w:val="Heading1"/>
        <w:sectPr w:rsidR="00467930" w:rsidSect="00CF738E">
          <w:type w:val="continuous"/>
          <w:pgSz w:w="11900" w:h="16840"/>
          <w:pgMar w:top="1132" w:right="1440" w:bottom="1440" w:left="1440" w:header="708" w:footer="708" w:gutter="0"/>
          <w:cols w:space="708"/>
          <w:docGrid w:linePitch="360"/>
        </w:sectPr>
      </w:pPr>
    </w:p>
    <w:p w14:paraId="2103E3B4" w14:textId="77777777" w:rsidR="00CF738E" w:rsidRPr="00CF738E" w:rsidRDefault="00CF738E" w:rsidP="00CF738E">
      <w:pPr>
        <w:pStyle w:val="Heading1"/>
      </w:pPr>
      <w:r w:rsidRPr="00CF738E">
        <w:lastRenderedPageBreak/>
        <w:t>Connect with us</w:t>
      </w:r>
    </w:p>
    <w:p w14:paraId="339653B1" w14:textId="77777777" w:rsidR="00467930" w:rsidRDefault="00467930" w:rsidP="00CF738E">
      <w:pPr>
        <w:pStyle w:val="BodyText"/>
      </w:pPr>
    </w:p>
    <w:p w14:paraId="2D433075" w14:textId="773B28BA" w:rsidR="00CF738E" w:rsidRDefault="00CF738E" w:rsidP="00CF738E">
      <w:pPr>
        <w:pStyle w:val="BodyText"/>
      </w:pPr>
      <w:r>
        <w:t xml:space="preserve">Call us: </w:t>
      </w:r>
      <w:r>
        <w:tab/>
        <w:t>020 7620 2066</w:t>
      </w:r>
    </w:p>
    <w:p w14:paraId="05A6B799" w14:textId="0DDD00A5" w:rsidR="00CF738E" w:rsidRDefault="00CF738E" w:rsidP="00CF738E">
      <w:pPr>
        <w:pStyle w:val="BodyText"/>
      </w:pPr>
      <w:r>
        <w:t xml:space="preserve">Email us: </w:t>
      </w:r>
      <w:r>
        <w:tab/>
        <w:t xml:space="preserve">hello@visionfoundation.org.uk </w:t>
      </w:r>
    </w:p>
    <w:p w14:paraId="0E5126C4" w14:textId="134E9D0D" w:rsidR="00CF738E" w:rsidRDefault="00CF738E" w:rsidP="00CF738E">
      <w:pPr>
        <w:pStyle w:val="BodyText"/>
      </w:pPr>
      <w:r>
        <w:t xml:space="preserve">Website:  </w:t>
      </w:r>
      <w:r>
        <w:tab/>
      </w:r>
      <w:hyperlink r:id="rId11" w:history="1">
        <w:r w:rsidRPr="00EA61C7">
          <w:rPr>
            <w:rStyle w:val="Hyperlink"/>
          </w:rPr>
          <w:t>www.visionfoundation.org.uk</w:t>
        </w:r>
      </w:hyperlink>
    </w:p>
    <w:p w14:paraId="3A8F3A82" w14:textId="77777777" w:rsidR="00467930" w:rsidRDefault="00467930" w:rsidP="00CF738E">
      <w:pPr>
        <w:pStyle w:val="BodyText"/>
      </w:pPr>
    </w:p>
    <w:p w14:paraId="2BE03EEF" w14:textId="29158B56" w:rsidR="00CF738E" w:rsidRDefault="00CF738E" w:rsidP="00CF738E">
      <w:pPr>
        <w:pStyle w:val="BodyText"/>
      </w:pPr>
      <w:r>
        <w:t>Twitter</w:t>
      </w:r>
      <w:r>
        <w:tab/>
      </w:r>
      <w:r>
        <w:tab/>
      </w:r>
      <w:hyperlink r:id="rId12" w:history="1">
        <w:r w:rsidRPr="00CF738E">
          <w:rPr>
            <w:rStyle w:val="Hyperlink"/>
          </w:rPr>
          <w:t>@Vision_Fdn</w:t>
        </w:r>
      </w:hyperlink>
      <w:r>
        <w:t xml:space="preserve"> </w:t>
      </w:r>
    </w:p>
    <w:p w14:paraId="54DB19CF" w14:textId="36A26AC7" w:rsidR="00CF738E" w:rsidRDefault="00CF738E" w:rsidP="00CF738E">
      <w:pPr>
        <w:pStyle w:val="BodyText"/>
      </w:pPr>
      <w:r>
        <w:t>Facebook</w:t>
      </w:r>
      <w:r>
        <w:tab/>
      </w:r>
      <w:hyperlink r:id="rId13" w:history="1">
        <w:r w:rsidRPr="00CF738E">
          <w:rPr>
            <w:rStyle w:val="Hyperlink"/>
          </w:rPr>
          <w:t>@VisionFdn</w:t>
        </w:r>
      </w:hyperlink>
    </w:p>
    <w:p w14:paraId="747A02DF" w14:textId="372B399A" w:rsidR="00CF738E" w:rsidRDefault="00CF738E" w:rsidP="00CF738E">
      <w:pPr>
        <w:pStyle w:val="BodyText"/>
      </w:pPr>
      <w:r>
        <w:t>Instagram</w:t>
      </w:r>
      <w:r>
        <w:tab/>
      </w:r>
      <w:hyperlink r:id="rId14" w:history="1">
        <w:r w:rsidRPr="00CF738E">
          <w:rPr>
            <w:rStyle w:val="Hyperlink"/>
          </w:rPr>
          <w:t>@Vision_Fdn</w:t>
        </w:r>
      </w:hyperlink>
    </w:p>
    <w:p w14:paraId="07CD1BB4" w14:textId="77777777" w:rsidR="00CF738E" w:rsidRDefault="00CF738E" w:rsidP="00CF738E">
      <w:pPr>
        <w:pStyle w:val="BodyText"/>
      </w:pPr>
    </w:p>
    <w:p w14:paraId="0C7AD7F2" w14:textId="07062F3B" w:rsidR="00CF738E" w:rsidRDefault="00CF738E" w:rsidP="00CF738E">
      <w:pPr>
        <w:pStyle w:val="BodyText"/>
      </w:pPr>
      <w:r>
        <w:t>Registered charity number 1074958</w:t>
      </w:r>
    </w:p>
    <w:p w14:paraId="5FBB23EC" w14:textId="77777777" w:rsidR="00CF738E" w:rsidRDefault="00CF738E" w:rsidP="00467930">
      <w:pPr>
        <w:pStyle w:val="BodyText"/>
        <w:spacing w:after="0"/>
      </w:pPr>
      <w:r>
        <w:t>12 Whitehorse Mews</w:t>
      </w:r>
    </w:p>
    <w:p w14:paraId="295DF9BD" w14:textId="77777777" w:rsidR="00CF738E" w:rsidRDefault="00CF738E" w:rsidP="00467930">
      <w:pPr>
        <w:pStyle w:val="BodyText"/>
        <w:spacing w:after="0"/>
      </w:pPr>
      <w:r>
        <w:t xml:space="preserve">37 Westminster Bridge Road </w:t>
      </w:r>
    </w:p>
    <w:p w14:paraId="15429BCF" w14:textId="77777777" w:rsidR="00CF738E" w:rsidRDefault="00CF738E" w:rsidP="00467930">
      <w:pPr>
        <w:pStyle w:val="BodyText"/>
        <w:spacing w:after="0"/>
      </w:pPr>
      <w:r>
        <w:t xml:space="preserve">London </w:t>
      </w:r>
    </w:p>
    <w:p w14:paraId="3B342E81" w14:textId="104D90A8" w:rsidR="00CF738E" w:rsidRDefault="00CF738E" w:rsidP="00467930">
      <w:pPr>
        <w:pStyle w:val="BodyText"/>
        <w:spacing w:after="0"/>
      </w:pPr>
      <w:r>
        <w:t>SE1 7QD</w:t>
      </w:r>
    </w:p>
    <w:p w14:paraId="0AB329FE" w14:textId="165EA827" w:rsidR="00CF738E" w:rsidRDefault="00CF738E" w:rsidP="00CF738E">
      <w:pPr>
        <w:pStyle w:val="BodyText"/>
      </w:pPr>
    </w:p>
    <w:p w14:paraId="4865A075" w14:textId="3DF80549" w:rsidR="00CF738E" w:rsidRDefault="00CF738E" w:rsidP="00CF738E">
      <w:pPr>
        <w:pStyle w:val="BodyText"/>
      </w:pPr>
      <w:r>
        <w:t>Registered with FUNDRAISING REGULATOR</w:t>
      </w:r>
    </w:p>
    <w:p w14:paraId="6EEF912A" w14:textId="77A0FBAE" w:rsidR="00CF738E" w:rsidRDefault="00CF738E" w:rsidP="00CF738E">
      <w:pPr>
        <w:pStyle w:val="BodyText"/>
      </w:pPr>
    </w:p>
    <w:p w14:paraId="75E43320" w14:textId="60F62B8A" w:rsidR="00CF738E" w:rsidRDefault="00CF738E" w:rsidP="00CF738E">
      <w:pPr>
        <w:pStyle w:val="Heading1"/>
      </w:pPr>
      <w:r w:rsidRPr="00CF738E">
        <w:t>Awards</w:t>
      </w:r>
    </w:p>
    <w:p w14:paraId="0AC4CB14" w14:textId="77777777" w:rsidR="00467930" w:rsidRDefault="00467930" w:rsidP="00CF738E">
      <w:pPr>
        <w:sectPr w:rsidR="00467930" w:rsidSect="00467930">
          <w:pgSz w:w="11900" w:h="16840"/>
          <w:pgMar w:top="1132" w:right="1440" w:bottom="1440" w:left="1440" w:header="708" w:footer="708" w:gutter="0"/>
          <w:cols w:space="708"/>
          <w:docGrid w:linePitch="360"/>
        </w:sectPr>
      </w:pPr>
    </w:p>
    <w:p w14:paraId="506195E4" w14:textId="77777777" w:rsidR="00467930" w:rsidRDefault="00467930" w:rsidP="00CF738E"/>
    <w:p w14:paraId="4A07308F" w14:textId="57754797" w:rsidR="00467930" w:rsidRDefault="00467930" w:rsidP="00467930">
      <w:pPr>
        <w:pStyle w:val="BodyText"/>
        <w:spacing w:after="0"/>
      </w:pPr>
      <w:r>
        <w:t>WINNER</w:t>
      </w:r>
    </w:p>
    <w:p w14:paraId="5D20BC02" w14:textId="77777777" w:rsidR="00467930" w:rsidRDefault="00CF738E" w:rsidP="00467930">
      <w:pPr>
        <w:pStyle w:val="BodyText"/>
        <w:spacing w:after="0"/>
      </w:pPr>
      <w:r>
        <w:t>2020 Charity Times Awards</w:t>
      </w:r>
    </w:p>
    <w:p w14:paraId="6C3986A3" w14:textId="61D16A15" w:rsidR="00CF738E" w:rsidRDefault="00467930" w:rsidP="00467930">
      <w:pPr>
        <w:pStyle w:val="BodyText"/>
        <w:spacing w:after="0"/>
      </w:pPr>
      <w:r>
        <w:t>R</w:t>
      </w:r>
      <w:r w:rsidR="00CF738E">
        <w:t>ising leader</w:t>
      </w:r>
      <w:r>
        <w:t xml:space="preserve">: </w:t>
      </w:r>
      <w:r w:rsidR="00CF738E">
        <w:t>Olivia Curno</w:t>
      </w:r>
      <w:r>
        <w:t xml:space="preserve"> </w:t>
      </w:r>
      <w:r>
        <w:softHyphen/>
      </w:r>
    </w:p>
    <w:p w14:paraId="297DE71F" w14:textId="5E186980" w:rsidR="00CF738E" w:rsidRDefault="00CF738E" w:rsidP="00467930">
      <w:pPr>
        <w:pStyle w:val="BodyText"/>
        <w:spacing w:after="0"/>
      </w:pPr>
    </w:p>
    <w:p w14:paraId="75F6E034" w14:textId="1F8E0086" w:rsidR="00467930" w:rsidRDefault="00467930" w:rsidP="00467930">
      <w:pPr>
        <w:pStyle w:val="BodyText"/>
        <w:spacing w:after="0"/>
      </w:pPr>
      <w:r>
        <w:t>FINALIST</w:t>
      </w:r>
    </w:p>
    <w:p w14:paraId="6BADBA18" w14:textId="77777777" w:rsidR="00467930" w:rsidRDefault="00467930" w:rsidP="00467930">
      <w:pPr>
        <w:pStyle w:val="BodyText"/>
        <w:spacing w:after="0"/>
      </w:pPr>
      <w:r>
        <w:t>2020 Charity Times Awards</w:t>
      </w:r>
    </w:p>
    <w:p w14:paraId="3BC48BCD" w14:textId="02C91E0A" w:rsidR="00467930" w:rsidRDefault="00467930" w:rsidP="00467930">
      <w:pPr>
        <w:pStyle w:val="BodyText"/>
        <w:spacing w:after="0"/>
      </w:pPr>
      <w:r>
        <w:t>Change Project of the Year</w:t>
      </w:r>
    </w:p>
    <w:p w14:paraId="789207B9" w14:textId="153F36DA" w:rsidR="00467930" w:rsidRDefault="00467930" w:rsidP="00467930">
      <w:pPr>
        <w:pStyle w:val="BodyText"/>
        <w:spacing w:after="0"/>
      </w:pPr>
    </w:p>
    <w:p w14:paraId="3528104E" w14:textId="413BF572" w:rsidR="00467930" w:rsidRDefault="00467930" w:rsidP="00467930">
      <w:pPr>
        <w:pStyle w:val="BodyText"/>
        <w:spacing w:after="0"/>
      </w:pPr>
      <w:r>
        <w:t>WINNER</w:t>
      </w:r>
    </w:p>
    <w:p w14:paraId="3443DB80" w14:textId="23DE76EA" w:rsidR="00467930" w:rsidRDefault="00467930" w:rsidP="00467930">
      <w:pPr>
        <w:pStyle w:val="BodyText"/>
        <w:spacing w:after="0"/>
      </w:pPr>
      <w:r>
        <w:t xml:space="preserve">2020 </w:t>
      </w:r>
      <w:proofErr w:type="spellStart"/>
      <w:r>
        <w:t>dsc</w:t>
      </w:r>
      <w:proofErr w:type="spellEnd"/>
      <w:r>
        <w:t xml:space="preserve"> Social Change Awards</w:t>
      </w:r>
    </w:p>
    <w:p w14:paraId="22A59E1B" w14:textId="472FA79B" w:rsidR="00467930" w:rsidRDefault="00467930" w:rsidP="00467930">
      <w:pPr>
        <w:pStyle w:val="BodyText"/>
        <w:spacing w:after="0"/>
      </w:pPr>
      <w:r>
        <w:t>Great Giving Award</w:t>
      </w:r>
    </w:p>
    <w:p w14:paraId="4C77A22D" w14:textId="77777777" w:rsidR="00467930" w:rsidRDefault="00467930" w:rsidP="00467930">
      <w:pPr>
        <w:pStyle w:val="BodyText"/>
        <w:spacing w:after="0"/>
      </w:pPr>
    </w:p>
    <w:p w14:paraId="69943A26" w14:textId="4F117667" w:rsidR="00CF738E" w:rsidRDefault="00467930" w:rsidP="00467930">
      <w:pPr>
        <w:pStyle w:val="BodyText"/>
        <w:spacing w:after="0"/>
      </w:pPr>
      <w:r>
        <w:t>FINALIST</w:t>
      </w:r>
    </w:p>
    <w:p w14:paraId="2FA59BF1" w14:textId="3C98E023" w:rsidR="00467930" w:rsidRDefault="00467930" w:rsidP="00467930">
      <w:pPr>
        <w:pStyle w:val="BodyText"/>
        <w:spacing w:after="0"/>
      </w:pPr>
      <w:r>
        <w:t>2020 National Fundraising Awards</w:t>
      </w:r>
    </w:p>
    <w:p w14:paraId="4FDB855E" w14:textId="6BF824A2" w:rsidR="00467930" w:rsidRDefault="00467930" w:rsidP="00467930">
      <w:pPr>
        <w:pStyle w:val="BodyText"/>
        <w:spacing w:after="0"/>
      </w:pPr>
      <w:r>
        <w:t>Best Supporter Experience</w:t>
      </w:r>
    </w:p>
    <w:p w14:paraId="29A2452D" w14:textId="51449F98" w:rsidR="00467930" w:rsidRDefault="00467930" w:rsidP="00467930">
      <w:pPr>
        <w:pStyle w:val="BodyText"/>
        <w:spacing w:after="0"/>
      </w:pPr>
    </w:p>
    <w:p w14:paraId="50AB78AA" w14:textId="3F0FDE4F" w:rsidR="00467930" w:rsidRDefault="00467930" w:rsidP="00467930">
      <w:pPr>
        <w:pStyle w:val="BodyText"/>
        <w:spacing w:after="0"/>
      </w:pPr>
      <w:r>
        <w:t>FINALIST</w:t>
      </w:r>
    </w:p>
    <w:p w14:paraId="39A9FD4A" w14:textId="77777777" w:rsidR="00467930" w:rsidRDefault="00467930" w:rsidP="00467930">
      <w:pPr>
        <w:pStyle w:val="BodyText"/>
        <w:spacing w:after="0"/>
        <w:sectPr w:rsidR="00467930" w:rsidSect="00467930">
          <w:type w:val="continuous"/>
          <w:pgSz w:w="11900" w:h="16840"/>
          <w:pgMar w:top="1132" w:right="1440" w:bottom="1440" w:left="1440" w:header="708" w:footer="708" w:gutter="0"/>
          <w:cols w:space="708"/>
          <w:docGrid w:linePitch="360"/>
        </w:sectPr>
      </w:pPr>
    </w:p>
    <w:p w14:paraId="5ED0648C" w14:textId="5172BC2D" w:rsidR="00467930" w:rsidRDefault="00467930" w:rsidP="00467930">
      <w:pPr>
        <w:pStyle w:val="BodyText"/>
        <w:spacing w:after="0"/>
      </w:pPr>
      <w:r>
        <w:t>Third Sector Awards</w:t>
      </w:r>
    </w:p>
    <w:p w14:paraId="1D488FD9" w14:textId="5950BE7F" w:rsidR="00467930" w:rsidRDefault="00467930" w:rsidP="00467930">
      <w:pPr>
        <w:pStyle w:val="BodyText"/>
        <w:spacing w:after="0"/>
      </w:pPr>
      <w:r>
        <w:t>Breakthrough of the Year #BlindLockdownLife</w:t>
      </w:r>
    </w:p>
    <w:p w14:paraId="72D0CC12" w14:textId="77777777" w:rsidR="00467930" w:rsidRDefault="00467930" w:rsidP="00467930">
      <w:pPr>
        <w:pStyle w:val="BodyText"/>
        <w:spacing w:after="0"/>
      </w:pPr>
    </w:p>
    <w:p w14:paraId="22068793" w14:textId="49EBB6CE" w:rsidR="00467930" w:rsidRDefault="00467930" w:rsidP="00467930">
      <w:pPr>
        <w:pStyle w:val="BodyText"/>
        <w:spacing w:after="0"/>
      </w:pPr>
      <w:r>
        <w:lastRenderedPageBreak/>
        <w:t>FINALIST</w:t>
      </w:r>
    </w:p>
    <w:p w14:paraId="6F8BE113" w14:textId="77777777" w:rsidR="00467930" w:rsidRDefault="00467930" w:rsidP="00467930">
      <w:pPr>
        <w:pStyle w:val="BodyText"/>
        <w:spacing w:after="0"/>
        <w:sectPr w:rsidR="00467930" w:rsidSect="00467930">
          <w:type w:val="continuous"/>
          <w:pgSz w:w="11900" w:h="16840"/>
          <w:pgMar w:top="1132" w:right="1440" w:bottom="1440" w:left="1440" w:header="708" w:footer="708" w:gutter="0"/>
          <w:cols w:space="708"/>
          <w:docGrid w:linePitch="360"/>
        </w:sectPr>
      </w:pPr>
    </w:p>
    <w:p w14:paraId="64468B77" w14:textId="77777777" w:rsidR="00467930" w:rsidRDefault="00467930" w:rsidP="00467930">
      <w:pPr>
        <w:pStyle w:val="BodyText"/>
        <w:spacing w:after="0"/>
      </w:pPr>
      <w:r>
        <w:t>Third Sector Awards</w:t>
      </w:r>
    </w:p>
    <w:p w14:paraId="34BE66BB" w14:textId="408A8AA9" w:rsidR="00467930" w:rsidRPr="00CF738E" w:rsidRDefault="00467930" w:rsidP="00467930">
      <w:pPr>
        <w:pStyle w:val="BodyText"/>
        <w:spacing w:after="0"/>
      </w:pPr>
      <w:r w:rsidRPr="00467930">
        <w:t>Rising Chief Executive</w:t>
      </w:r>
      <w:r>
        <w:t xml:space="preserve">: </w:t>
      </w:r>
      <w:r w:rsidRPr="00467930">
        <w:t>Olivia Curno</w:t>
      </w:r>
    </w:p>
    <w:sectPr w:rsidR="00467930" w:rsidRPr="00CF738E" w:rsidSect="00467930">
      <w:type w:val="continuous"/>
      <w:pgSz w:w="11900" w:h="16840"/>
      <w:pgMar w:top="113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4913" w14:textId="77777777" w:rsidR="00882D2F" w:rsidRDefault="00882D2F" w:rsidP="00A0021B">
      <w:r>
        <w:separator/>
      </w:r>
    </w:p>
  </w:endnote>
  <w:endnote w:type="continuationSeparator" w:id="0">
    <w:p w14:paraId="011C8D50" w14:textId="77777777" w:rsidR="00882D2F" w:rsidRDefault="00882D2F" w:rsidP="00A0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Albert">
    <w:altName w:val="Calibri"/>
    <w:charset w:val="4D"/>
    <w:family w:val="auto"/>
    <w:pitch w:val="variable"/>
    <w:sig w:usb0="A00000A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lano Classic">
    <w:altName w:val="Calibri"/>
    <w:panose1 w:val="00000000000000000000"/>
    <w:charset w:val="4D"/>
    <w:family w:val="auto"/>
    <w:notTrueType/>
    <w:pitch w:val="variable"/>
    <w:sig w:usb0="00000007" w:usb1="00000001" w:usb2="00000000" w:usb3="00000000" w:csb0="00000093"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041192"/>
      <w:docPartObj>
        <w:docPartGallery w:val="Page Numbers (Bottom of Page)"/>
        <w:docPartUnique/>
      </w:docPartObj>
    </w:sdtPr>
    <w:sdtEndPr>
      <w:rPr>
        <w:rStyle w:val="PageNumber"/>
      </w:rPr>
    </w:sdtEndPr>
    <w:sdtContent>
      <w:p w14:paraId="26925AF3" w14:textId="4533680C" w:rsidR="00A0021B" w:rsidRDefault="00A0021B" w:rsidP="00E87B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050D8" w14:textId="77777777" w:rsidR="00A0021B" w:rsidRDefault="00A0021B" w:rsidP="00A00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967202"/>
      <w:docPartObj>
        <w:docPartGallery w:val="Page Numbers (Bottom of Page)"/>
        <w:docPartUnique/>
      </w:docPartObj>
    </w:sdtPr>
    <w:sdtEndPr>
      <w:rPr>
        <w:rStyle w:val="PageNumber"/>
      </w:rPr>
    </w:sdtEndPr>
    <w:sdtContent>
      <w:p w14:paraId="4A84937F" w14:textId="6FCEBEBE" w:rsidR="00A0021B" w:rsidRDefault="00A0021B" w:rsidP="00E87B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AE9001" w14:textId="77777777" w:rsidR="00A0021B" w:rsidRDefault="00A0021B" w:rsidP="00A002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44E4" w14:textId="77777777" w:rsidR="00882D2F" w:rsidRDefault="00882D2F" w:rsidP="00A0021B">
      <w:r>
        <w:separator/>
      </w:r>
    </w:p>
  </w:footnote>
  <w:footnote w:type="continuationSeparator" w:id="0">
    <w:p w14:paraId="31FC8C11" w14:textId="77777777" w:rsidR="00882D2F" w:rsidRDefault="00882D2F" w:rsidP="00A00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86F1E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75E93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814C7B"/>
    <w:multiLevelType w:val="multilevel"/>
    <w:tmpl w:val="2C449232"/>
    <w:styleLink w:val="CurrentList3"/>
    <w:lvl w:ilvl="0">
      <w:start w:val="1"/>
      <w:numFmt w:val="decimal"/>
      <w:lvlText w:val="%1."/>
      <w:lvlJc w:val="left"/>
      <w:pPr>
        <w:ind w:left="567" w:hanging="567"/>
      </w:pPr>
      <w:rPr>
        <w:rFonts w:ascii="FS Albert" w:hAnsi="FS Albert" w:hint="default"/>
        <w:b/>
        <w:i w:val="0"/>
        <w:color w:val="4565AE"/>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94C56"/>
    <w:multiLevelType w:val="multilevel"/>
    <w:tmpl w:val="4516AC6C"/>
    <w:styleLink w:val="CurrentList1"/>
    <w:lvl w:ilvl="0">
      <w:start w:val="1"/>
      <w:numFmt w:val="decimal"/>
      <w:lvlText w:val="%1."/>
      <w:lvlJc w:val="left"/>
      <w:pPr>
        <w:ind w:left="567" w:hanging="567"/>
      </w:pPr>
      <w:rPr>
        <w:rFonts w:ascii="FS Albert" w:hAnsi="FS Albert" w:hint="default"/>
        <w:b/>
        <w:i w:val="0"/>
        <w:color w:val="4565AE"/>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05563"/>
    <w:multiLevelType w:val="hybridMultilevel"/>
    <w:tmpl w:val="0F0EC76E"/>
    <w:lvl w:ilvl="0" w:tplc="77E64A64">
      <w:start w:val="1"/>
      <w:numFmt w:val="bullet"/>
      <w:pStyle w:val="Lis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C5D90"/>
    <w:multiLevelType w:val="multilevel"/>
    <w:tmpl w:val="73DC6468"/>
    <w:styleLink w:val="VFnumberedlist"/>
    <w:lvl w:ilvl="0">
      <w:start w:val="1"/>
      <w:numFmt w:val="decimal"/>
      <w:lvlText w:val="%1."/>
      <w:lvlJc w:val="left"/>
      <w:pPr>
        <w:ind w:left="567" w:hanging="567"/>
      </w:pPr>
      <w:rPr>
        <w:rFonts w:ascii="FS Albert" w:hAnsi="FS Albert" w:hint="default"/>
        <w:b/>
        <w:i w:val="0"/>
        <w:color w:val="212A57"/>
        <w:sz w:val="24"/>
      </w:rPr>
    </w:lvl>
    <w:lvl w:ilvl="1">
      <w:start w:val="1"/>
      <w:numFmt w:val="lowerLetter"/>
      <w:lvlText w:val="%2."/>
      <w:lvlJc w:val="left"/>
      <w:pPr>
        <w:ind w:left="1080" w:hanging="360"/>
      </w:pPr>
      <w:rPr>
        <w:rFonts w:ascii="FS Albert" w:hAnsi="FS Alber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1B54F7"/>
    <w:multiLevelType w:val="hybridMultilevel"/>
    <w:tmpl w:val="9B9672F4"/>
    <w:lvl w:ilvl="0" w:tplc="04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275E45"/>
    <w:multiLevelType w:val="hybridMultilevel"/>
    <w:tmpl w:val="ABAEDD3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02E1A"/>
    <w:multiLevelType w:val="hybridMultilevel"/>
    <w:tmpl w:val="BE5C617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3A5C27"/>
    <w:multiLevelType w:val="multilevel"/>
    <w:tmpl w:val="9424908C"/>
    <w:styleLink w:val="CurrentList2"/>
    <w:lvl w:ilvl="0">
      <w:start w:val="1"/>
      <w:numFmt w:val="decimal"/>
      <w:lvlText w:val="%1."/>
      <w:lvlJc w:val="left"/>
      <w:pPr>
        <w:ind w:left="927" w:hanging="567"/>
      </w:pPr>
      <w:rPr>
        <w:rFonts w:ascii="FS Albert" w:hAnsi="FS Albert" w:hint="default"/>
        <w:b/>
        <w:i w:val="0"/>
        <w:color w:val="212A57"/>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2277677">
    <w:abstractNumId w:val="3"/>
  </w:num>
  <w:num w:numId="2" w16cid:durableId="1865708359">
    <w:abstractNumId w:val="9"/>
  </w:num>
  <w:num w:numId="3" w16cid:durableId="1626816579">
    <w:abstractNumId w:val="5"/>
  </w:num>
  <w:num w:numId="4" w16cid:durableId="1399480301">
    <w:abstractNumId w:val="0"/>
  </w:num>
  <w:num w:numId="5" w16cid:durableId="1438718366">
    <w:abstractNumId w:val="1"/>
  </w:num>
  <w:num w:numId="6" w16cid:durableId="464394841">
    <w:abstractNumId w:val="2"/>
  </w:num>
  <w:num w:numId="7" w16cid:durableId="1442334186">
    <w:abstractNumId w:val="8"/>
  </w:num>
  <w:num w:numId="8" w16cid:durableId="1044527518">
    <w:abstractNumId w:val="7"/>
  </w:num>
  <w:num w:numId="9" w16cid:durableId="1336299220">
    <w:abstractNumId w:val="6"/>
  </w:num>
  <w:num w:numId="10" w16cid:durableId="37434942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0B"/>
    <w:rsid w:val="00012B28"/>
    <w:rsid w:val="00014F0A"/>
    <w:rsid w:val="00015F7B"/>
    <w:rsid w:val="00020B5E"/>
    <w:rsid w:val="00083558"/>
    <w:rsid w:val="000D0849"/>
    <w:rsid w:val="00135E4F"/>
    <w:rsid w:val="0017512E"/>
    <w:rsid w:val="00183CAB"/>
    <w:rsid w:val="001B1DFE"/>
    <w:rsid w:val="00205472"/>
    <w:rsid w:val="00264C3D"/>
    <w:rsid w:val="00265808"/>
    <w:rsid w:val="00286366"/>
    <w:rsid w:val="002B176B"/>
    <w:rsid w:val="002B2B56"/>
    <w:rsid w:val="002D5C47"/>
    <w:rsid w:val="002E2694"/>
    <w:rsid w:val="002E2EDA"/>
    <w:rsid w:val="0031316A"/>
    <w:rsid w:val="003230D4"/>
    <w:rsid w:val="00325EEE"/>
    <w:rsid w:val="003552FF"/>
    <w:rsid w:val="0037412E"/>
    <w:rsid w:val="003A5169"/>
    <w:rsid w:val="003B6E35"/>
    <w:rsid w:val="003F3556"/>
    <w:rsid w:val="00435EF5"/>
    <w:rsid w:val="00467930"/>
    <w:rsid w:val="00475192"/>
    <w:rsid w:val="004B0817"/>
    <w:rsid w:val="004C65EA"/>
    <w:rsid w:val="00511D52"/>
    <w:rsid w:val="005321E8"/>
    <w:rsid w:val="00546CE5"/>
    <w:rsid w:val="005C21D6"/>
    <w:rsid w:val="005E6EB1"/>
    <w:rsid w:val="00603BEA"/>
    <w:rsid w:val="006270AA"/>
    <w:rsid w:val="0064733E"/>
    <w:rsid w:val="00653A38"/>
    <w:rsid w:val="006553A6"/>
    <w:rsid w:val="00672FA8"/>
    <w:rsid w:val="006A6104"/>
    <w:rsid w:val="006C0F03"/>
    <w:rsid w:val="00723DBE"/>
    <w:rsid w:val="00725222"/>
    <w:rsid w:val="00750113"/>
    <w:rsid w:val="00752321"/>
    <w:rsid w:val="007B279C"/>
    <w:rsid w:val="007B375E"/>
    <w:rsid w:val="007D520F"/>
    <w:rsid w:val="007F0D92"/>
    <w:rsid w:val="00806DD4"/>
    <w:rsid w:val="00875C94"/>
    <w:rsid w:val="00882D2F"/>
    <w:rsid w:val="008D3341"/>
    <w:rsid w:val="008E2E1D"/>
    <w:rsid w:val="008E3C94"/>
    <w:rsid w:val="008E6580"/>
    <w:rsid w:val="00917996"/>
    <w:rsid w:val="00921C63"/>
    <w:rsid w:val="00924777"/>
    <w:rsid w:val="00934EAA"/>
    <w:rsid w:val="00956924"/>
    <w:rsid w:val="0097435C"/>
    <w:rsid w:val="009C7620"/>
    <w:rsid w:val="00A0021B"/>
    <w:rsid w:val="00A024B7"/>
    <w:rsid w:val="00A131C9"/>
    <w:rsid w:val="00A27AEA"/>
    <w:rsid w:val="00A637F5"/>
    <w:rsid w:val="00A63F41"/>
    <w:rsid w:val="00A6575C"/>
    <w:rsid w:val="00A67720"/>
    <w:rsid w:val="00A752BE"/>
    <w:rsid w:val="00AE6E0A"/>
    <w:rsid w:val="00AF3F01"/>
    <w:rsid w:val="00B00F69"/>
    <w:rsid w:val="00B30E7B"/>
    <w:rsid w:val="00B35BC7"/>
    <w:rsid w:val="00B43216"/>
    <w:rsid w:val="00B706C0"/>
    <w:rsid w:val="00C65369"/>
    <w:rsid w:val="00C654F7"/>
    <w:rsid w:val="00C74404"/>
    <w:rsid w:val="00C87723"/>
    <w:rsid w:val="00C931B9"/>
    <w:rsid w:val="00CA5D7B"/>
    <w:rsid w:val="00CD2263"/>
    <w:rsid w:val="00CF738E"/>
    <w:rsid w:val="00D03F5A"/>
    <w:rsid w:val="00D82997"/>
    <w:rsid w:val="00E10139"/>
    <w:rsid w:val="00E17A11"/>
    <w:rsid w:val="00E21D20"/>
    <w:rsid w:val="00E53E1A"/>
    <w:rsid w:val="00EA5234"/>
    <w:rsid w:val="00ED12C5"/>
    <w:rsid w:val="00F0402F"/>
    <w:rsid w:val="00F6113D"/>
    <w:rsid w:val="00F64A91"/>
    <w:rsid w:val="00F67412"/>
    <w:rsid w:val="00F7270B"/>
    <w:rsid w:val="00F77B80"/>
    <w:rsid w:val="00FE174B"/>
    <w:rsid w:val="00FE2FE6"/>
    <w:rsid w:val="00FE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9D60"/>
  <w15:chartTrackingRefBased/>
  <w15:docId w15:val="{AF759273-3C96-5441-BDAC-2C3EBA0E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F Normal"/>
    <w:qFormat/>
    <w:rsid w:val="002D5C47"/>
    <w:pPr>
      <w:widowControl w:val="0"/>
      <w:autoSpaceDE w:val="0"/>
      <w:autoSpaceDN w:val="0"/>
    </w:pPr>
    <w:rPr>
      <w:rFonts w:ascii="FS Albert" w:eastAsia="Tahoma" w:hAnsi="FS Albert" w:cs="Tahoma"/>
      <w:szCs w:val="22"/>
    </w:rPr>
  </w:style>
  <w:style w:type="paragraph" w:styleId="Heading1">
    <w:name w:val="heading 1"/>
    <w:basedOn w:val="Normal"/>
    <w:next w:val="Normal"/>
    <w:link w:val="Heading1Char"/>
    <w:uiPriority w:val="99"/>
    <w:qFormat/>
    <w:rsid w:val="00924777"/>
    <w:pPr>
      <w:widowControl/>
      <w:autoSpaceDE/>
      <w:autoSpaceDN/>
      <w:spacing w:before="240" w:after="120"/>
      <w:outlineLvl w:val="0"/>
    </w:pPr>
    <w:rPr>
      <w:rFonts w:eastAsiaTheme="majorEastAsia" w:cstheme="majorBidi"/>
      <w:b/>
      <w:bCs/>
      <w:iCs/>
      <w:color w:val="4565AE"/>
      <w:sz w:val="40"/>
      <w:szCs w:val="32"/>
    </w:rPr>
  </w:style>
  <w:style w:type="paragraph" w:styleId="Heading2">
    <w:name w:val="heading 2"/>
    <w:basedOn w:val="Normal"/>
    <w:next w:val="Normal"/>
    <w:link w:val="Heading2Char"/>
    <w:uiPriority w:val="9"/>
    <w:unhideWhenUsed/>
    <w:qFormat/>
    <w:rsid w:val="00F64A91"/>
    <w:pPr>
      <w:keepNext/>
      <w:keepLines/>
      <w:spacing w:before="40" w:after="120"/>
      <w:outlineLvl w:val="1"/>
    </w:pPr>
    <w:rPr>
      <w:rFonts w:eastAsiaTheme="majorEastAsia" w:cstheme="majorBidi"/>
      <w:color w:val="4565AE"/>
      <w:sz w:val="36"/>
      <w:szCs w:val="36"/>
    </w:rPr>
  </w:style>
  <w:style w:type="paragraph" w:styleId="Heading3">
    <w:name w:val="heading 3"/>
    <w:basedOn w:val="Normal"/>
    <w:next w:val="Normal"/>
    <w:link w:val="Heading3Char"/>
    <w:uiPriority w:val="9"/>
    <w:unhideWhenUsed/>
    <w:qFormat/>
    <w:rsid w:val="00F64A91"/>
    <w:pPr>
      <w:keepNext/>
      <w:keepLines/>
      <w:spacing w:before="240" w:after="120"/>
      <w:outlineLvl w:val="2"/>
    </w:pPr>
    <w:rPr>
      <w:rFonts w:eastAsiaTheme="majorEastAsia" w:cstheme="majorBidi"/>
      <w:b/>
      <w:color w:val="212A57"/>
      <w:sz w:val="28"/>
      <w:szCs w:val="28"/>
    </w:rPr>
  </w:style>
  <w:style w:type="paragraph" w:styleId="Heading4">
    <w:name w:val="heading 4"/>
    <w:basedOn w:val="Normal"/>
    <w:next w:val="Normal"/>
    <w:link w:val="Heading4Char"/>
    <w:uiPriority w:val="9"/>
    <w:unhideWhenUsed/>
    <w:qFormat/>
    <w:rsid w:val="00A6772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665F"/>
    <w:pPr>
      <w:keepNext/>
      <w:keepLines/>
      <w:spacing w:before="120"/>
      <w:outlineLvl w:val="4"/>
    </w:pPr>
    <w:rPr>
      <w:rFonts w:eastAsiaTheme="majorEastAsia" w:cstheme="majorBidi"/>
      <w:b/>
      <w:bCs/>
      <w:color w:val="2F5496" w:themeColor="accent1" w:themeShade="BF"/>
    </w:rPr>
  </w:style>
  <w:style w:type="paragraph" w:styleId="Heading6">
    <w:name w:val="heading 6"/>
    <w:basedOn w:val="Normal"/>
    <w:next w:val="Normal"/>
    <w:link w:val="Heading6Char"/>
    <w:uiPriority w:val="9"/>
    <w:unhideWhenUsed/>
    <w:qFormat/>
    <w:rsid w:val="00FE665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06C0"/>
    <w:rPr>
      <w:rFonts w:ascii="Arial" w:hAnsi="Arial"/>
      <w:b/>
      <w:bCs/>
      <w:i w:val="0"/>
      <w:caps/>
      <w:smallCaps w:val="0"/>
      <w:strike w:val="0"/>
      <w:dstrike w:val="0"/>
      <w:vanish w:val="0"/>
      <w:color w:val="00B0F0"/>
      <w:sz w:val="28"/>
      <w:vertAlign w:val="baseline"/>
    </w:rPr>
  </w:style>
  <w:style w:type="paragraph" w:styleId="BodyText">
    <w:name w:val="Body Text"/>
    <w:basedOn w:val="Normal"/>
    <w:link w:val="BodyTextChar"/>
    <w:uiPriority w:val="1"/>
    <w:unhideWhenUsed/>
    <w:qFormat/>
    <w:rsid w:val="00C931B9"/>
    <w:pPr>
      <w:spacing w:after="120"/>
    </w:pPr>
  </w:style>
  <w:style w:type="character" w:customStyle="1" w:styleId="BodyTextChar">
    <w:name w:val="Body Text Char"/>
    <w:basedOn w:val="DefaultParagraphFont"/>
    <w:link w:val="BodyText"/>
    <w:uiPriority w:val="1"/>
    <w:rsid w:val="00C931B9"/>
    <w:rPr>
      <w:rFonts w:ascii="Galano Classic" w:eastAsia="Galano Classic" w:hAnsi="Galano Classic" w:cs="Galano Classic"/>
      <w:szCs w:val="22"/>
    </w:rPr>
  </w:style>
  <w:style w:type="character" w:customStyle="1" w:styleId="Heading1Char">
    <w:name w:val="Heading 1 Char"/>
    <w:basedOn w:val="DefaultParagraphFont"/>
    <w:link w:val="Heading1"/>
    <w:uiPriority w:val="99"/>
    <w:rsid w:val="00924777"/>
    <w:rPr>
      <w:rFonts w:ascii="FS Albert" w:eastAsiaTheme="majorEastAsia" w:hAnsi="FS Albert" w:cstheme="majorBidi"/>
      <w:b/>
      <w:bCs/>
      <w:iCs/>
      <w:color w:val="4565AE"/>
      <w:sz w:val="40"/>
      <w:szCs w:val="32"/>
    </w:rPr>
  </w:style>
  <w:style w:type="character" w:customStyle="1" w:styleId="Heading2Char">
    <w:name w:val="Heading 2 Char"/>
    <w:basedOn w:val="DefaultParagraphFont"/>
    <w:link w:val="Heading2"/>
    <w:uiPriority w:val="9"/>
    <w:rsid w:val="00F64A91"/>
    <w:rPr>
      <w:rFonts w:ascii="FS Albert" w:eastAsiaTheme="majorEastAsia" w:hAnsi="FS Albert" w:cstheme="majorBidi"/>
      <w:color w:val="4565AE"/>
      <w:sz w:val="36"/>
      <w:szCs w:val="36"/>
    </w:rPr>
  </w:style>
  <w:style w:type="paragraph" w:styleId="Title">
    <w:name w:val="Title"/>
    <w:basedOn w:val="Normal"/>
    <w:next w:val="Normal"/>
    <w:link w:val="TitleChar"/>
    <w:uiPriority w:val="10"/>
    <w:qFormat/>
    <w:rsid w:val="00546CE5"/>
    <w:pPr>
      <w:contextualSpacing/>
    </w:pPr>
    <w:rPr>
      <w:rFonts w:eastAsiaTheme="majorEastAsia" w:cstheme="majorBidi"/>
      <w:color w:val="35499A"/>
      <w:spacing w:val="-10"/>
      <w:kern w:val="28"/>
      <w:sz w:val="72"/>
      <w:szCs w:val="56"/>
    </w:rPr>
  </w:style>
  <w:style w:type="character" w:customStyle="1" w:styleId="TitleChar">
    <w:name w:val="Title Char"/>
    <w:basedOn w:val="DefaultParagraphFont"/>
    <w:link w:val="Title"/>
    <w:uiPriority w:val="10"/>
    <w:rsid w:val="00546CE5"/>
    <w:rPr>
      <w:rFonts w:ascii="FS Albert" w:eastAsiaTheme="majorEastAsia" w:hAnsi="FS Albert" w:cstheme="majorBidi"/>
      <w:color w:val="35499A"/>
      <w:spacing w:val="-10"/>
      <w:kern w:val="28"/>
      <w:sz w:val="72"/>
      <w:szCs w:val="56"/>
    </w:rPr>
  </w:style>
  <w:style w:type="table" w:styleId="ListTable2-Accent3">
    <w:name w:val="List Table 2 Accent 3"/>
    <w:basedOn w:val="TableNormal"/>
    <w:uiPriority w:val="47"/>
    <w:rsid w:val="00014F0A"/>
    <w:pPr>
      <w:snapToGrid w:val="0"/>
      <w:ind w:firstLine="357"/>
    </w:pPr>
    <w:rPr>
      <w:rFonts w:ascii="Galano Classic" w:eastAsiaTheme="minorEastAsia" w:hAnsi="Galano Classic" w:cs="Times New Roman (Body CS)"/>
      <w:color w:val="476F6B"/>
      <w:sz w:val="18"/>
      <w:szCs w:val="22"/>
    </w:rPr>
    <w:tblPr>
      <w:tblStyleRowBandSize w:val="1"/>
      <w:tblStyleColBandSize w:val="1"/>
      <w:tblBorders>
        <w:top w:val="single" w:sz="4" w:space="0" w:color="96B3B2"/>
        <w:bottom w:val="single" w:sz="4" w:space="0" w:color="96B3B2"/>
        <w:insideH w:val="single" w:sz="4" w:space="0" w:color="96B3B2"/>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rsid w:val="00A67720"/>
    <w:rPr>
      <w:rFonts w:asciiTheme="majorHAnsi" w:eastAsiaTheme="majorEastAsia" w:hAnsiTheme="majorHAnsi" w:cstheme="majorBidi"/>
      <w:i/>
      <w:iCs/>
      <w:color w:val="2F5496" w:themeColor="accent1" w:themeShade="BF"/>
      <w:szCs w:val="22"/>
    </w:rPr>
  </w:style>
  <w:style w:type="paragraph" w:styleId="ListParagraph">
    <w:name w:val="List Paragraph"/>
    <w:aliases w:val="VF List Paragraph"/>
    <w:basedOn w:val="Normal"/>
    <w:uiPriority w:val="34"/>
    <w:qFormat/>
    <w:rsid w:val="005C21D6"/>
    <w:pPr>
      <w:ind w:left="720"/>
      <w:contextualSpacing/>
    </w:pPr>
    <w:rPr>
      <w:color w:val="000000" w:themeColor="text1"/>
    </w:rPr>
  </w:style>
  <w:style w:type="paragraph" w:styleId="TOC1">
    <w:name w:val="toc 1"/>
    <w:basedOn w:val="Normal"/>
    <w:next w:val="Normal"/>
    <w:autoRedefine/>
    <w:uiPriority w:val="39"/>
    <w:unhideWhenUsed/>
    <w:qFormat/>
    <w:rsid w:val="00C65369"/>
    <w:pPr>
      <w:spacing w:before="120"/>
    </w:pPr>
    <w:rPr>
      <w:rFonts w:cstheme="minorHAnsi"/>
      <w:b/>
      <w:bCs/>
      <w:iCs/>
      <w:color w:val="212A57"/>
      <w:szCs w:val="24"/>
    </w:rPr>
  </w:style>
  <w:style w:type="character" w:customStyle="1" w:styleId="Heading3Char">
    <w:name w:val="Heading 3 Char"/>
    <w:basedOn w:val="DefaultParagraphFont"/>
    <w:link w:val="Heading3"/>
    <w:uiPriority w:val="9"/>
    <w:rsid w:val="00F64A91"/>
    <w:rPr>
      <w:rFonts w:ascii="FS Albert" w:eastAsiaTheme="majorEastAsia" w:hAnsi="FS Albert" w:cstheme="majorBidi"/>
      <w:b/>
      <w:color w:val="212A57"/>
      <w:sz w:val="28"/>
      <w:szCs w:val="28"/>
    </w:rPr>
  </w:style>
  <w:style w:type="character" w:customStyle="1" w:styleId="Heading5Char">
    <w:name w:val="Heading 5 Char"/>
    <w:basedOn w:val="DefaultParagraphFont"/>
    <w:link w:val="Heading5"/>
    <w:uiPriority w:val="9"/>
    <w:rsid w:val="00FE665F"/>
    <w:rPr>
      <w:rFonts w:ascii="FS Albert" w:eastAsiaTheme="majorEastAsia" w:hAnsi="FS Albert" w:cstheme="majorBidi"/>
      <w:b/>
      <w:bCs/>
      <w:color w:val="2F5496" w:themeColor="accent1" w:themeShade="BF"/>
      <w:szCs w:val="22"/>
    </w:rPr>
  </w:style>
  <w:style w:type="paragraph" w:customStyle="1" w:styleId="VFItalics">
    <w:name w:val="VF Italics"/>
    <w:basedOn w:val="Normal"/>
    <w:qFormat/>
    <w:rsid w:val="003A5169"/>
    <w:rPr>
      <w:i/>
    </w:rPr>
  </w:style>
  <w:style w:type="paragraph" w:customStyle="1" w:styleId="TableParagraph">
    <w:name w:val="Table Paragraph"/>
    <w:basedOn w:val="Normal"/>
    <w:uiPriority w:val="1"/>
    <w:qFormat/>
    <w:rsid w:val="001B1DFE"/>
    <w:rPr>
      <w:rFonts w:eastAsia="Lucida Sans Unicode" w:cs="Lucida Sans Unicode"/>
      <w:sz w:val="18"/>
    </w:rPr>
  </w:style>
  <w:style w:type="paragraph" w:styleId="Header">
    <w:name w:val="header"/>
    <w:basedOn w:val="Normal"/>
    <w:link w:val="HeaderChar"/>
    <w:uiPriority w:val="99"/>
    <w:unhideWhenUsed/>
    <w:rsid w:val="00A0021B"/>
    <w:pPr>
      <w:tabs>
        <w:tab w:val="center" w:pos="4513"/>
        <w:tab w:val="right" w:pos="9026"/>
      </w:tabs>
    </w:pPr>
  </w:style>
  <w:style w:type="character" w:customStyle="1" w:styleId="HeaderChar">
    <w:name w:val="Header Char"/>
    <w:basedOn w:val="DefaultParagraphFont"/>
    <w:link w:val="Header"/>
    <w:uiPriority w:val="99"/>
    <w:rsid w:val="00A0021B"/>
    <w:rPr>
      <w:rFonts w:ascii="FS Albert" w:eastAsia="Tahoma" w:hAnsi="FS Albert" w:cs="Tahoma"/>
      <w:szCs w:val="22"/>
    </w:rPr>
  </w:style>
  <w:style w:type="paragraph" w:styleId="Footer">
    <w:name w:val="footer"/>
    <w:basedOn w:val="Normal"/>
    <w:link w:val="FooterChar"/>
    <w:uiPriority w:val="99"/>
    <w:unhideWhenUsed/>
    <w:rsid w:val="00A0021B"/>
    <w:pPr>
      <w:tabs>
        <w:tab w:val="center" w:pos="4513"/>
        <w:tab w:val="right" w:pos="9026"/>
      </w:tabs>
    </w:pPr>
  </w:style>
  <w:style w:type="character" w:customStyle="1" w:styleId="FooterChar">
    <w:name w:val="Footer Char"/>
    <w:basedOn w:val="DefaultParagraphFont"/>
    <w:link w:val="Footer"/>
    <w:uiPriority w:val="99"/>
    <w:rsid w:val="00A0021B"/>
    <w:rPr>
      <w:rFonts w:ascii="FS Albert" w:eastAsia="Tahoma" w:hAnsi="FS Albert" w:cs="Tahoma"/>
      <w:szCs w:val="22"/>
    </w:rPr>
  </w:style>
  <w:style w:type="character" w:styleId="PageNumber">
    <w:name w:val="page number"/>
    <w:basedOn w:val="DefaultParagraphFont"/>
    <w:uiPriority w:val="99"/>
    <w:semiHidden/>
    <w:unhideWhenUsed/>
    <w:rsid w:val="00A0021B"/>
  </w:style>
  <w:style w:type="paragraph" w:styleId="TOCHeading">
    <w:name w:val="TOC Heading"/>
    <w:basedOn w:val="Heading1"/>
    <w:next w:val="Normal"/>
    <w:uiPriority w:val="39"/>
    <w:unhideWhenUsed/>
    <w:qFormat/>
    <w:rsid w:val="00546CE5"/>
    <w:pPr>
      <w:keepNext/>
      <w:keepLines/>
      <w:spacing w:before="480" w:after="0" w:line="276" w:lineRule="auto"/>
      <w:outlineLvl w:val="9"/>
    </w:pPr>
    <w:rPr>
      <w:rFonts w:asciiTheme="majorHAnsi" w:hAnsiTheme="majorHAnsi"/>
      <w:iCs w:val="0"/>
      <w:color w:val="2F5496" w:themeColor="accent1" w:themeShade="BF"/>
      <w:sz w:val="28"/>
      <w:szCs w:val="28"/>
      <w:lang w:val="en-US"/>
    </w:rPr>
  </w:style>
  <w:style w:type="paragraph" w:styleId="TOC2">
    <w:name w:val="toc 2"/>
    <w:basedOn w:val="Normal"/>
    <w:next w:val="Normal"/>
    <w:autoRedefine/>
    <w:uiPriority w:val="39"/>
    <w:unhideWhenUsed/>
    <w:rsid w:val="00E53E1A"/>
    <w:pPr>
      <w:spacing w:before="120"/>
      <w:ind w:left="240"/>
    </w:pPr>
    <w:rPr>
      <w:rFonts w:cstheme="minorHAnsi"/>
      <w:bCs/>
      <w:color w:val="212A57"/>
    </w:rPr>
  </w:style>
  <w:style w:type="paragraph" w:styleId="TOC3">
    <w:name w:val="toc 3"/>
    <w:basedOn w:val="Normal"/>
    <w:next w:val="Normal"/>
    <w:autoRedefine/>
    <w:uiPriority w:val="39"/>
    <w:unhideWhenUsed/>
    <w:rsid w:val="00546CE5"/>
    <w:pPr>
      <w:ind w:left="480"/>
    </w:pPr>
    <w:rPr>
      <w:rFonts w:asciiTheme="minorHAnsi" w:hAnsiTheme="minorHAnsi" w:cstheme="minorHAnsi"/>
      <w:sz w:val="20"/>
      <w:szCs w:val="20"/>
    </w:rPr>
  </w:style>
  <w:style w:type="character" w:styleId="Hyperlink">
    <w:name w:val="Hyperlink"/>
    <w:basedOn w:val="DefaultParagraphFont"/>
    <w:uiPriority w:val="99"/>
    <w:unhideWhenUsed/>
    <w:rsid w:val="00546CE5"/>
    <w:rPr>
      <w:color w:val="0563C1" w:themeColor="hyperlink"/>
      <w:u w:val="single"/>
    </w:rPr>
  </w:style>
  <w:style w:type="paragraph" w:styleId="TOC4">
    <w:name w:val="toc 4"/>
    <w:basedOn w:val="Normal"/>
    <w:next w:val="Normal"/>
    <w:autoRedefine/>
    <w:uiPriority w:val="39"/>
    <w:semiHidden/>
    <w:unhideWhenUsed/>
    <w:rsid w:val="00546CE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46CE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46CE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46CE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46CE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46CE5"/>
    <w:pPr>
      <w:ind w:left="1920"/>
    </w:pPr>
    <w:rPr>
      <w:rFonts w:asciiTheme="minorHAnsi" w:hAnsiTheme="minorHAnsi" w:cstheme="minorHAnsi"/>
      <w:sz w:val="20"/>
      <w:szCs w:val="20"/>
    </w:rPr>
  </w:style>
  <w:style w:type="paragraph" w:customStyle="1" w:styleId="Default">
    <w:name w:val="Default"/>
    <w:rsid w:val="00C65369"/>
    <w:pPr>
      <w:autoSpaceDE w:val="0"/>
      <w:autoSpaceDN w:val="0"/>
      <w:adjustRightInd w:val="0"/>
    </w:pPr>
    <w:rPr>
      <w:rFonts w:ascii="Calibri" w:hAnsi="Calibri" w:cs="Calibri"/>
      <w:color w:val="000000"/>
    </w:rPr>
  </w:style>
  <w:style w:type="table" w:styleId="TableGrid">
    <w:name w:val="Table Grid"/>
    <w:basedOn w:val="TableNormal"/>
    <w:uiPriority w:val="39"/>
    <w:rsid w:val="00C6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653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53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1">
    <w:name w:val="Current List1"/>
    <w:uiPriority w:val="99"/>
    <w:rsid w:val="00723DBE"/>
    <w:pPr>
      <w:numPr>
        <w:numId w:val="1"/>
      </w:numPr>
    </w:pPr>
  </w:style>
  <w:style w:type="numbering" w:customStyle="1" w:styleId="CurrentList2">
    <w:name w:val="Current List2"/>
    <w:uiPriority w:val="99"/>
    <w:rsid w:val="00723DBE"/>
    <w:pPr>
      <w:numPr>
        <w:numId w:val="2"/>
      </w:numPr>
    </w:pPr>
  </w:style>
  <w:style w:type="numbering" w:customStyle="1" w:styleId="VFnumberedlist">
    <w:name w:val="VF numbered list"/>
    <w:basedOn w:val="NoList"/>
    <w:uiPriority w:val="99"/>
    <w:rsid w:val="00723DBE"/>
    <w:pPr>
      <w:numPr>
        <w:numId w:val="3"/>
      </w:numPr>
    </w:pPr>
  </w:style>
  <w:style w:type="numbering" w:customStyle="1" w:styleId="CurrentList3">
    <w:name w:val="Current List3"/>
    <w:uiPriority w:val="99"/>
    <w:rsid w:val="007B279C"/>
    <w:pPr>
      <w:numPr>
        <w:numId w:val="6"/>
      </w:numPr>
    </w:pPr>
  </w:style>
  <w:style w:type="paragraph" w:styleId="List">
    <w:name w:val="List"/>
    <w:basedOn w:val="Normal"/>
    <w:uiPriority w:val="99"/>
    <w:unhideWhenUsed/>
    <w:rsid w:val="00603BEA"/>
    <w:pPr>
      <w:numPr>
        <w:numId w:val="10"/>
      </w:numPr>
      <w:contextualSpacing/>
    </w:pPr>
  </w:style>
  <w:style w:type="paragraph" w:styleId="List3">
    <w:name w:val="List 3"/>
    <w:basedOn w:val="Normal"/>
    <w:uiPriority w:val="99"/>
    <w:unhideWhenUsed/>
    <w:rsid w:val="008E3C94"/>
    <w:pPr>
      <w:ind w:left="849" w:hanging="283"/>
      <w:contextualSpacing/>
    </w:pPr>
  </w:style>
  <w:style w:type="paragraph" w:styleId="List4">
    <w:name w:val="List 4"/>
    <w:basedOn w:val="Normal"/>
    <w:uiPriority w:val="99"/>
    <w:unhideWhenUsed/>
    <w:rsid w:val="008E3C94"/>
    <w:pPr>
      <w:ind w:left="1132" w:hanging="283"/>
      <w:contextualSpacing/>
    </w:pPr>
  </w:style>
  <w:style w:type="paragraph" w:styleId="ListBullet">
    <w:name w:val="List Bullet"/>
    <w:basedOn w:val="Normal"/>
    <w:uiPriority w:val="99"/>
    <w:unhideWhenUsed/>
    <w:rsid w:val="008E3C94"/>
    <w:pPr>
      <w:numPr>
        <w:numId w:val="5"/>
      </w:numPr>
      <w:contextualSpacing/>
    </w:pPr>
  </w:style>
  <w:style w:type="paragraph" w:styleId="ListNumber">
    <w:name w:val="List Number"/>
    <w:basedOn w:val="Normal"/>
    <w:uiPriority w:val="99"/>
    <w:unhideWhenUsed/>
    <w:rsid w:val="00A27AEA"/>
    <w:pPr>
      <w:numPr>
        <w:numId w:val="4"/>
      </w:numPr>
      <w:contextualSpacing/>
    </w:pPr>
    <w:rPr>
      <w:b/>
      <w:color w:val="2F5496" w:themeColor="accent1" w:themeShade="BF"/>
      <w:sz w:val="28"/>
    </w:rPr>
  </w:style>
  <w:style w:type="paragraph" w:customStyle="1" w:styleId="BasicParagraph">
    <w:name w:val="[Basic Paragraph]"/>
    <w:basedOn w:val="Normal"/>
    <w:uiPriority w:val="99"/>
    <w:rsid w:val="00924777"/>
    <w:pPr>
      <w:widowControl/>
      <w:suppressAutoHyphens/>
      <w:adjustRightInd w:val="0"/>
      <w:spacing w:after="100" w:line="280" w:lineRule="atLeast"/>
      <w:textAlignment w:val="center"/>
    </w:pPr>
    <w:rPr>
      <w:rFonts w:eastAsia="Galano Classic" w:cs="FS Albert"/>
      <w:color w:val="11100D"/>
      <w:szCs w:val="24"/>
    </w:rPr>
  </w:style>
  <w:style w:type="paragraph" w:customStyle="1" w:styleId="VFBullets1">
    <w:name w:val="VF Bullets 1"/>
    <w:basedOn w:val="BasicParagraph"/>
    <w:uiPriority w:val="99"/>
    <w:rsid w:val="007D520F"/>
    <w:pPr>
      <w:spacing w:after="60"/>
      <w:ind w:left="360" w:hanging="360"/>
    </w:pPr>
    <w:rPr>
      <w:rFonts w:eastAsia="MS Mincho"/>
    </w:rPr>
  </w:style>
  <w:style w:type="character" w:customStyle="1" w:styleId="Heading6Char">
    <w:name w:val="Heading 6 Char"/>
    <w:basedOn w:val="DefaultParagraphFont"/>
    <w:link w:val="Heading6"/>
    <w:uiPriority w:val="9"/>
    <w:rsid w:val="00FE665F"/>
    <w:rPr>
      <w:rFonts w:asciiTheme="majorHAnsi" w:eastAsiaTheme="majorEastAsia" w:hAnsiTheme="majorHAnsi" w:cstheme="majorBidi"/>
      <w:color w:val="1F3763" w:themeColor="accent1" w:themeShade="7F"/>
      <w:szCs w:val="22"/>
    </w:rPr>
  </w:style>
  <w:style w:type="character" w:styleId="UnresolvedMention">
    <w:name w:val="Unresolved Mention"/>
    <w:basedOn w:val="DefaultParagraphFont"/>
    <w:uiPriority w:val="99"/>
    <w:semiHidden/>
    <w:unhideWhenUsed/>
    <w:rsid w:val="00CF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983">
      <w:bodyDiv w:val="1"/>
      <w:marLeft w:val="0"/>
      <w:marRight w:val="0"/>
      <w:marTop w:val="0"/>
      <w:marBottom w:val="0"/>
      <w:divBdr>
        <w:top w:val="none" w:sz="0" w:space="0" w:color="auto"/>
        <w:left w:val="none" w:sz="0" w:space="0" w:color="auto"/>
        <w:bottom w:val="none" w:sz="0" w:space="0" w:color="auto"/>
        <w:right w:val="none" w:sz="0" w:space="0" w:color="auto"/>
      </w:divBdr>
    </w:div>
    <w:div w:id="50732556">
      <w:bodyDiv w:val="1"/>
      <w:marLeft w:val="0"/>
      <w:marRight w:val="0"/>
      <w:marTop w:val="0"/>
      <w:marBottom w:val="0"/>
      <w:divBdr>
        <w:top w:val="none" w:sz="0" w:space="0" w:color="auto"/>
        <w:left w:val="none" w:sz="0" w:space="0" w:color="auto"/>
        <w:bottom w:val="none" w:sz="0" w:space="0" w:color="auto"/>
        <w:right w:val="none" w:sz="0" w:space="0" w:color="auto"/>
      </w:divBdr>
    </w:div>
    <w:div w:id="133255470">
      <w:bodyDiv w:val="1"/>
      <w:marLeft w:val="0"/>
      <w:marRight w:val="0"/>
      <w:marTop w:val="0"/>
      <w:marBottom w:val="0"/>
      <w:divBdr>
        <w:top w:val="none" w:sz="0" w:space="0" w:color="auto"/>
        <w:left w:val="none" w:sz="0" w:space="0" w:color="auto"/>
        <w:bottom w:val="none" w:sz="0" w:space="0" w:color="auto"/>
        <w:right w:val="none" w:sz="0" w:space="0" w:color="auto"/>
      </w:divBdr>
    </w:div>
    <w:div w:id="218907030">
      <w:bodyDiv w:val="1"/>
      <w:marLeft w:val="0"/>
      <w:marRight w:val="0"/>
      <w:marTop w:val="0"/>
      <w:marBottom w:val="0"/>
      <w:divBdr>
        <w:top w:val="none" w:sz="0" w:space="0" w:color="auto"/>
        <w:left w:val="none" w:sz="0" w:space="0" w:color="auto"/>
        <w:bottom w:val="none" w:sz="0" w:space="0" w:color="auto"/>
        <w:right w:val="none" w:sz="0" w:space="0" w:color="auto"/>
      </w:divBdr>
    </w:div>
    <w:div w:id="274948519">
      <w:bodyDiv w:val="1"/>
      <w:marLeft w:val="0"/>
      <w:marRight w:val="0"/>
      <w:marTop w:val="0"/>
      <w:marBottom w:val="0"/>
      <w:divBdr>
        <w:top w:val="none" w:sz="0" w:space="0" w:color="auto"/>
        <w:left w:val="none" w:sz="0" w:space="0" w:color="auto"/>
        <w:bottom w:val="none" w:sz="0" w:space="0" w:color="auto"/>
        <w:right w:val="none" w:sz="0" w:space="0" w:color="auto"/>
      </w:divBdr>
    </w:div>
    <w:div w:id="422724215">
      <w:bodyDiv w:val="1"/>
      <w:marLeft w:val="0"/>
      <w:marRight w:val="0"/>
      <w:marTop w:val="0"/>
      <w:marBottom w:val="0"/>
      <w:divBdr>
        <w:top w:val="none" w:sz="0" w:space="0" w:color="auto"/>
        <w:left w:val="none" w:sz="0" w:space="0" w:color="auto"/>
        <w:bottom w:val="none" w:sz="0" w:space="0" w:color="auto"/>
        <w:right w:val="none" w:sz="0" w:space="0" w:color="auto"/>
      </w:divBdr>
    </w:div>
    <w:div w:id="445545560">
      <w:bodyDiv w:val="1"/>
      <w:marLeft w:val="0"/>
      <w:marRight w:val="0"/>
      <w:marTop w:val="0"/>
      <w:marBottom w:val="0"/>
      <w:divBdr>
        <w:top w:val="none" w:sz="0" w:space="0" w:color="auto"/>
        <w:left w:val="none" w:sz="0" w:space="0" w:color="auto"/>
        <w:bottom w:val="none" w:sz="0" w:space="0" w:color="auto"/>
        <w:right w:val="none" w:sz="0" w:space="0" w:color="auto"/>
      </w:divBdr>
    </w:div>
    <w:div w:id="482429530">
      <w:bodyDiv w:val="1"/>
      <w:marLeft w:val="0"/>
      <w:marRight w:val="0"/>
      <w:marTop w:val="0"/>
      <w:marBottom w:val="0"/>
      <w:divBdr>
        <w:top w:val="none" w:sz="0" w:space="0" w:color="auto"/>
        <w:left w:val="none" w:sz="0" w:space="0" w:color="auto"/>
        <w:bottom w:val="none" w:sz="0" w:space="0" w:color="auto"/>
        <w:right w:val="none" w:sz="0" w:space="0" w:color="auto"/>
      </w:divBdr>
    </w:div>
    <w:div w:id="529876204">
      <w:bodyDiv w:val="1"/>
      <w:marLeft w:val="0"/>
      <w:marRight w:val="0"/>
      <w:marTop w:val="0"/>
      <w:marBottom w:val="0"/>
      <w:divBdr>
        <w:top w:val="none" w:sz="0" w:space="0" w:color="auto"/>
        <w:left w:val="none" w:sz="0" w:space="0" w:color="auto"/>
        <w:bottom w:val="none" w:sz="0" w:space="0" w:color="auto"/>
        <w:right w:val="none" w:sz="0" w:space="0" w:color="auto"/>
      </w:divBdr>
    </w:div>
    <w:div w:id="658272680">
      <w:bodyDiv w:val="1"/>
      <w:marLeft w:val="0"/>
      <w:marRight w:val="0"/>
      <w:marTop w:val="0"/>
      <w:marBottom w:val="0"/>
      <w:divBdr>
        <w:top w:val="none" w:sz="0" w:space="0" w:color="auto"/>
        <w:left w:val="none" w:sz="0" w:space="0" w:color="auto"/>
        <w:bottom w:val="none" w:sz="0" w:space="0" w:color="auto"/>
        <w:right w:val="none" w:sz="0" w:space="0" w:color="auto"/>
      </w:divBdr>
    </w:div>
    <w:div w:id="788742860">
      <w:bodyDiv w:val="1"/>
      <w:marLeft w:val="0"/>
      <w:marRight w:val="0"/>
      <w:marTop w:val="0"/>
      <w:marBottom w:val="0"/>
      <w:divBdr>
        <w:top w:val="none" w:sz="0" w:space="0" w:color="auto"/>
        <w:left w:val="none" w:sz="0" w:space="0" w:color="auto"/>
        <w:bottom w:val="none" w:sz="0" w:space="0" w:color="auto"/>
        <w:right w:val="none" w:sz="0" w:space="0" w:color="auto"/>
      </w:divBdr>
    </w:div>
    <w:div w:id="869027721">
      <w:bodyDiv w:val="1"/>
      <w:marLeft w:val="0"/>
      <w:marRight w:val="0"/>
      <w:marTop w:val="0"/>
      <w:marBottom w:val="0"/>
      <w:divBdr>
        <w:top w:val="none" w:sz="0" w:space="0" w:color="auto"/>
        <w:left w:val="none" w:sz="0" w:space="0" w:color="auto"/>
        <w:bottom w:val="none" w:sz="0" w:space="0" w:color="auto"/>
        <w:right w:val="none" w:sz="0" w:space="0" w:color="auto"/>
      </w:divBdr>
    </w:div>
    <w:div w:id="871646432">
      <w:bodyDiv w:val="1"/>
      <w:marLeft w:val="0"/>
      <w:marRight w:val="0"/>
      <w:marTop w:val="0"/>
      <w:marBottom w:val="0"/>
      <w:divBdr>
        <w:top w:val="none" w:sz="0" w:space="0" w:color="auto"/>
        <w:left w:val="none" w:sz="0" w:space="0" w:color="auto"/>
        <w:bottom w:val="none" w:sz="0" w:space="0" w:color="auto"/>
        <w:right w:val="none" w:sz="0" w:space="0" w:color="auto"/>
      </w:divBdr>
    </w:div>
    <w:div w:id="1187865235">
      <w:bodyDiv w:val="1"/>
      <w:marLeft w:val="0"/>
      <w:marRight w:val="0"/>
      <w:marTop w:val="0"/>
      <w:marBottom w:val="0"/>
      <w:divBdr>
        <w:top w:val="none" w:sz="0" w:space="0" w:color="auto"/>
        <w:left w:val="none" w:sz="0" w:space="0" w:color="auto"/>
        <w:bottom w:val="none" w:sz="0" w:space="0" w:color="auto"/>
        <w:right w:val="none" w:sz="0" w:space="0" w:color="auto"/>
      </w:divBdr>
    </w:div>
    <w:div w:id="1197160544">
      <w:bodyDiv w:val="1"/>
      <w:marLeft w:val="0"/>
      <w:marRight w:val="0"/>
      <w:marTop w:val="0"/>
      <w:marBottom w:val="0"/>
      <w:divBdr>
        <w:top w:val="none" w:sz="0" w:space="0" w:color="auto"/>
        <w:left w:val="none" w:sz="0" w:space="0" w:color="auto"/>
        <w:bottom w:val="none" w:sz="0" w:space="0" w:color="auto"/>
        <w:right w:val="none" w:sz="0" w:space="0" w:color="auto"/>
      </w:divBdr>
    </w:div>
    <w:div w:id="1230380125">
      <w:bodyDiv w:val="1"/>
      <w:marLeft w:val="0"/>
      <w:marRight w:val="0"/>
      <w:marTop w:val="0"/>
      <w:marBottom w:val="0"/>
      <w:divBdr>
        <w:top w:val="none" w:sz="0" w:space="0" w:color="auto"/>
        <w:left w:val="none" w:sz="0" w:space="0" w:color="auto"/>
        <w:bottom w:val="none" w:sz="0" w:space="0" w:color="auto"/>
        <w:right w:val="none" w:sz="0" w:space="0" w:color="auto"/>
      </w:divBdr>
    </w:div>
    <w:div w:id="1246380629">
      <w:bodyDiv w:val="1"/>
      <w:marLeft w:val="0"/>
      <w:marRight w:val="0"/>
      <w:marTop w:val="0"/>
      <w:marBottom w:val="0"/>
      <w:divBdr>
        <w:top w:val="none" w:sz="0" w:space="0" w:color="auto"/>
        <w:left w:val="none" w:sz="0" w:space="0" w:color="auto"/>
        <w:bottom w:val="none" w:sz="0" w:space="0" w:color="auto"/>
        <w:right w:val="none" w:sz="0" w:space="0" w:color="auto"/>
      </w:divBdr>
    </w:div>
    <w:div w:id="1286503523">
      <w:bodyDiv w:val="1"/>
      <w:marLeft w:val="0"/>
      <w:marRight w:val="0"/>
      <w:marTop w:val="0"/>
      <w:marBottom w:val="0"/>
      <w:divBdr>
        <w:top w:val="none" w:sz="0" w:space="0" w:color="auto"/>
        <w:left w:val="none" w:sz="0" w:space="0" w:color="auto"/>
        <w:bottom w:val="none" w:sz="0" w:space="0" w:color="auto"/>
        <w:right w:val="none" w:sz="0" w:space="0" w:color="auto"/>
      </w:divBdr>
    </w:div>
    <w:div w:id="1515067793">
      <w:bodyDiv w:val="1"/>
      <w:marLeft w:val="0"/>
      <w:marRight w:val="0"/>
      <w:marTop w:val="0"/>
      <w:marBottom w:val="0"/>
      <w:divBdr>
        <w:top w:val="none" w:sz="0" w:space="0" w:color="auto"/>
        <w:left w:val="none" w:sz="0" w:space="0" w:color="auto"/>
        <w:bottom w:val="none" w:sz="0" w:space="0" w:color="auto"/>
        <w:right w:val="none" w:sz="0" w:space="0" w:color="auto"/>
      </w:divBdr>
    </w:div>
    <w:div w:id="1548419765">
      <w:bodyDiv w:val="1"/>
      <w:marLeft w:val="0"/>
      <w:marRight w:val="0"/>
      <w:marTop w:val="0"/>
      <w:marBottom w:val="0"/>
      <w:divBdr>
        <w:top w:val="none" w:sz="0" w:space="0" w:color="auto"/>
        <w:left w:val="none" w:sz="0" w:space="0" w:color="auto"/>
        <w:bottom w:val="none" w:sz="0" w:space="0" w:color="auto"/>
        <w:right w:val="none" w:sz="0" w:space="0" w:color="auto"/>
      </w:divBdr>
    </w:div>
    <w:div w:id="1549994763">
      <w:bodyDiv w:val="1"/>
      <w:marLeft w:val="0"/>
      <w:marRight w:val="0"/>
      <w:marTop w:val="0"/>
      <w:marBottom w:val="0"/>
      <w:divBdr>
        <w:top w:val="none" w:sz="0" w:space="0" w:color="auto"/>
        <w:left w:val="none" w:sz="0" w:space="0" w:color="auto"/>
        <w:bottom w:val="none" w:sz="0" w:space="0" w:color="auto"/>
        <w:right w:val="none" w:sz="0" w:space="0" w:color="auto"/>
      </w:divBdr>
    </w:div>
    <w:div w:id="1754861096">
      <w:bodyDiv w:val="1"/>
      <w:marLeft w:val="0"/>
      <w:marRight w:val="0"/>
      <w:marTop w:val="0"/>
      <w:marBottom w:val="0"/>
      <w:divBdr>
        <w:top w:val="none" w:sz="0" w:space="0" w:color="auto"/>
        <w:left w:val="none" w:sz="0" w:space="0" w:color="auto"/>
        <w:bottom w:val="none" w:sz="0" w:space="0" w:color="auto"/>
        <w:right w:val="none" w:sz="0" w:space="0" w:color="auto"/>
      </w:divBdr>
    </w:div>
    <w:div w:id="1814908346">
      <w:bodyDiv w:val="1"/>
      <w:marLeft w:val="0"/>
      <w:marRight w:val="0"/>
      <w:marTop w:val="0"/>
      <w:marBottom w:val="0"/>
      <w:divBdr>
        <w:top w:val="none" w:sz="0" w:space="0" w:color="auto"/>
        <w:left w:val="none" w:sz="0" w:space="0" w:color="auto"/>
        <w:bottom w:val="none" w:sz="0" w:space="0" w:color="auto"/>
        <w:right w:val="none" w:sz="0" w:space="0" w:color="auto"/>
      </w:divBdr>
    </w:div>
    <w:div w:id="1880974279">
      <w:bodyDiv w:val="1"/>
      <w:marLeft w:val="0"/>
      <w:marRight w:val="0"/>
      <w:marTop w:val="0"/>
      <w:marBottom w:val="0"/>
      <w:divBdr>
        <w:top w:val="none" w:sz="0" w:space="0" w:color="auto"/>
        <w:left w:val="none" w:sz="0" w:space="0" w:color="auto"/>
        <w:bottom w:val="none" w:sz="0" w:space="0" w:color="auto"/>
        <w:right w:val="none" w:sz="0" w:space="0" w:color="auto"/>
      </w:divBdr>
    </w:div>
    <w:div w:id="20530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VisionF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Vision_Fd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onfoundation.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stagram.com/vision_f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5317-322F-384C-B94A-B70BF7F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17890</Words>
  <Characters>101978</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Ketley</dc:creator>
  <cp:keywords/>
  <dc:description/>
  <cp:lastModifiedBy>Kim Creus</cp:lastModifiedBy>
  <cp:revision>3</cp:revision>
  <dcterms:created xsi:type="dcterms:W3CDTF">2022-01-06T14:44:00Z</dcterms:created>
  <dcterms:modified xsi:type="dcterms:W3CDTF">2022-06-06T11:13:00Z</dcterms:modified>
</cp:coreProperties>
</file>